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外交小标宋" w:hAnsi="外交小标宋" w:eastAsia="外交小标宋" w:cs="外交小标宋"/>
          <w:sz w:val="36"/>
          <w:szCs w:val="36"/>
        </w:rPr>
      </w:pPr>
    </w:p>
    <w:p>
      <w:pPr>
        <w:jc w:val="center"/>
        <w:rPr>
          <w:rFonts w:hint="eastAsia" w:ascii="外交小标宋" w:hAnsi="外交小标宋" w:eastAsia="外交小标宋" w:cs="外交小标宋"/>
          <w:sz w:val="36"/>
          <w:szCs w:val="36"/>
        </w:rPr>
      </w:pPr>
    </w:p>
    <w:p>
      <w:pPr>
        <w:jc w:val="center"/>
        <w:rPr>
          <w:rFonts w:hint="eastAsia" w:ascii="外交小标宋" w:hAnsi="外交小标宋" w:eastAsia="外交小标宋" w:cs="外交小标宋"/>
          <w:sz w:val="36"/>
          <w:szCs w:val="36"/>
          <w:lang w:eastAsia="zh-CN"/>
        </w:rPr>
      </w:pPr>
      <w:r>
        <w:rPr>
          <w:rFonts w:hint="eastAsia" w:ascii="外交小标宋" w:hAnsi="外交小标宋" w:eastAsia="外交小标宋" w:cs="外交小标宋"/>
          <w:sz w:val="36"/>
          <w:szCs w:val="36"/>
        </w:rPr>
        <w:t>党建云展室</w:t>
      </w:r>
      <w:r>
        <w:rPr>
          <w:rFonts w:hint="eastAsia" w:ascii="外交小标宋" w:hAnsi="外交小标宋" w:eastAsia="外交小标宋" w:cs="外交小标宋"/>
          <w:sz w:val="36"/>
          <w:szCs w:val="36"/>
          <w:lang w:eastAsia="zh-CN"/>
        </w:rPr>
        <w:t>软件开发需求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一、业务需求</w:t>
      </w:r>
    </w:p>
    <w:p>
      <w:pPr>
        <w:ind w:firstLine="64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该系统分为在线云展厅、后台数据统计管理、在线考试模块等三个部分，系统入口链接在</w:t>
      </w: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eastAsia="zh-CN"/>
        </w:rPr>
        <w:t>公司现有</w:t>
      </w: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微信公众号上，各功能模块需求如下：</w:t>
      </w:r>
    </w:p>
    <w:p>
      <w:pPr>
        <w:numPr>
          <w:ilvl w:val="0"/>
          <w:numId w:val="1"/>
        </w:numPr>
        <w:ind w:firstLine="64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云展厅，主要面向用户进行在线云展览，具体要求包括但不限于：</w:t>
      </w:r>
    </w:p>
    <w:p>
      <w:pPr>
        <w:numPr>
          <w:ilvl w:val="0"/>
          <w:numId w:val="2"/>
        </w:num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包括1个主展厅（入口展厅）、5个分展厅（按不同内容或阶段划分），其中包含视频、音频、图片、文字等多种展示展示形式。</w:t>
      </w:r>
    </w:p>
    <w:p>
      <w:pPr>
        <w:numPr>
          <w:ilvl w:val="0"/>
          <w:numId w:val="2"/>
        </w:num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展厅设计庄重肃穆、色彩渲染美观大方，可营造良好的党建宣传氛围，并满足高清晰、数字化要求。</w:t>
      </w:r>
    </w:p>
    <w:p>
      <w:pPr>
        <w:numPr>
          <w:ilvl w:val="0"/>
          <w:numId w:val="2"/>
        </w:num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展厅架构较为灵活，展示的内容相对容易替换，更新较为简便。</w:t>
      </w:r>
    </w:p>
    <w:p>
      <w:pPr>
        <w:numPr>
          <w:ilvl w:val="0"/>
          <w:numId w:val="1"/>
        </w:numPr>
        <w:ind w:firstLine="64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统计模块，主要对用户、费用等数据进行统计和管理，具体要求包括但不限于：</w:t>
      </w:r>
    </w:p>
    <w:p>
      <w:p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1、用户管理功能，能较为快捷的批量开设、注销用户账户。</w:t>
      </w:r>
    </w:p>
    <w:p>
      <w:p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2、计费功能，按照预先设计的规则核算参观费用。</w:t>
      </w:r>
    </w:p>
    <w:p>
      <w:p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3、统计功能，按照业务需要，可统计参观时长、参观覆盖率等，并形成相应报表和统计图。</w:t>
      </w:r>
    </w:p>
    <w:p>
      <w:p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（三）考试模块，参观完成后可在线进行答题考试，具体要求包括但不限于：</w:t>
      </w:r>
    </w:p>
    <w:p>
      <w:p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1、开展在线答题考试，题型包括：选择、判断、填空、问答等多种形式。</w:t>
      </w:r>
    </w:p>
    <w:p>
      <w:p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2、对客观题进行自动判卷，并汇总主观题答题情况，形成用户答题统计报告。</w:t>
      </w:r>
    </w:p>
    <w:p>
      <w:pPr>
        <w:ind w:firstLine="64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二、业务流程图</w:t>
      </w:r>
    </w:p>
    <w:p>
      <w:pP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drawing>
          <wp:inline distT="0" distB="0" distL="114300" distR="114300">
            <wp:extent cx="5300345" cy="2820035"/>
            <wp:effectExtent l="0" t="0" r="14605" b="18415"/>
            <wp:docPr id="1" name="图片 1" descr="微信截图_2021030115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3011534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三、技术要求</w:t>
      </w:r>
    </w:p>
    <w:p>
      <w:pPr>
        <w:ind w:firstLine="64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该系统需满足如下技术要求：</w:t>
      </w:r>
    </w:p>
    <w:p>
      <w:p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1、部署在我方指定的云平台上，满足云服务有关技术要求。</w:t>
      </w:r>
    </w:p>
    <w:p>
      <w:p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2、系统整体性能较强，在2000以上的并发量时，能保证系统流畅运转、用户顺畅参观，同时可根据并发量灵活扩充资源、提升性能。</w:t>
      </w:r>
    </w:p>
    <w:p>
      <w:pPr>
        <w:ind w:firstLine="64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四、服务要求</w:t>
      </w:r>
    </w:p>
    <w:p>
      <w:pPr>
        <w:ind w:firstLine="64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该系统供应商需满足如下服务要求：</w:t>
      </w:r>
    </w:p>
    <w:p>
      <w:p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1、报价阶段提供一个云展厅的DEMO案例。</w:t>
      </w:r>
    </w:p>
    <w:p>
      <w:p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2、1个半月内完成项目全部开发，具备上线运行条件。</w:t>
      </w:r>
    </w:p>
    <w:p>
      <w:p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3、确保系统质量和稳定运行。</w:t>
      </w:r>
    </w:p>
    <w:p>
      <w:pPr>
        <w:ind w:firstLine="640" w:firstLineChars="200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  <w:t>4、项目运维期一年，期间提供及时运维保障，如遇重大问题2小时内响应并及时解决。</w:t>
      </w:r>
    </w:p>
    <w:p>
      <w:pP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外交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外交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9C53"/>
    <w:multiLevelType w:val="singleLevel"/>
    <w:tmpl w:val="2C319C5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3A0A05"/>
    <w:multiLevelType w:val="singleLevel"/>
    <w:tmpl w:val="5B3A0A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858F1"/>
    <w:rsid w:val="08A858F1"/>
    <w:rsid w:val="16C117C5"/>
    <w:rsid w:val="73A51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2021-03-15T09:23:00Z</dcterms:created>
  <dc:creator>–Γǒrget</dc:creator>
  <cp:lastModifiedBy>–Γǒrget</cp:lastModifiedBy>
  <dcterms:modified xsi:type="dcterms:W3CDTF">2021-03-15T09:35:27Z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