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Ref469992889"/>
      <w:bookmarkStart w:id="1" w:name="_Toc71560333"/>
      <w:r>
        <w:rPr>
          <w:rFonts w:hint="eastAsia"/>
        </w:rPr>
        <w:t xml:space="preserve">第三章  </w:t>
      </w:r>
      <w:bookmarkEnd w:id="0"/>
      <w:r>
        <w:rPr>
          <w:rFonts w:hint="eastAsia"/>
        </w:rPr>
        <w:t>评审标准</w:t>
      </w:r>
      <w:bookmarkEnd w:id="1"/>
    </w:p>
    <w:p>
      <w:pPr>
        <w:pStyle w:val="3"/>
      </w:pPr>
      <w:bookmarkStart w:id="2" w:name="_Toc71560334"/>
      <w:r>
        <w:rPr>
          <w:rFonts w:hint="eastAsia"/>
        </w:rPr>
        <w:t>一、综合得分计算方法</w:t>
      </w:r>
      <w:bookmarkEnd w:id="2"/>
    </w:p>
    <w:p>
      <w:pPr>
        <w:pStyle w:val="46"/>
        <w:ind w:firstLine="480"/>
      </w:pPr>
      <w:r>
        <w:rPr>
          <w:rFonts w:hint="eastAsia"/>
        </w:rPr>
        <w:t>每一磋商供应商的综合得分为所有磋商小组成员给其评分的算术平均值。各项评分均保留两位小数。</w:t>
      </w:r>
    </w:p>
    <w:p/>
    <w:p>
      <w:pPr>
        <w:pStyle w:val="3"/>
      </w:pPr>
      <w:bookmarkStart w:id="3" w:name="_Toc71560335"/>
      <w:r>
        <w:rPr>
          <w:rFonts w:hint="eastAsia"/>
        </w:rPr>
        <w:t>二、评审中的落实政府采购政策具体办法</w:t>
      </w:r>
      <w:bookmarkEnd w:id="3"/>
    </w:p>
    <w:p>
      <w:pPr>
        <w:pStyle w:val="4"/>
      </w:pPr>
      <w:bookmarkStart w:id="4" w:name="_Toc71560336"/>
      <w:r>
        <w:rPr>
          <w:rFonts w:hint="eastAsia"/>
        </w:rPr>
        <w:t>1、促进中小企业、残疾人福利性单位、监狱企业政策落实</w:t>
      </w:r>
      <w:bookmarkEnd w:id="4"/>
    </w:p>
    <w:p>
      <w:pPr>
        <w:ind w:left="836" w:hanging="836"/>
      </w:pPr>
      <w:r>
        <w:rPr>
          <w:rFonts w:hint="eastAsia"/>
        </w:rPr>
        <w:t>（1）</w:t>
      </w:r>
      <w:r>
        <w:rPr>
          <w:rFonts w:hint="eastAsia"/>
        </w:rPr>
        <w:tab/>
      </w:r>
      <w:r>
        <w:rPr>
          <w:rFonts w:hint="eastAsia"/>
        </w:rPr>
        <w:t>《政府采购促进中小企业发展管理办法》（财库[</w:t>
      </w:r>
      <w:r>
        <w:t>2020</w:t>
      </w:r>
      <w:r>
        <w:rPr>
          <w:rFonts w:hint="eastAsia"/>
        </w:rPr>
        <w:t>]</w:t>
      </w:r>
      <w:r>
        <w:t>46</w:t>
      </w:r>
      <w:r>
        <w:rPr>
          <w:rFonts w:hint="eastAsia"/>
        </w:rPr>
        <w:t>号，以下简称“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ind w:left="836" w:hanging="836"/>
      </w:pPr>
      <w:r>
        <w:rPr>
          <w:rFonts w:hint="eastAsia"/>
        </w:rPr>
        <w:t>（2）</w:t>
      </w:r>
      <w:r>
        <w:tab/>
      </w:r>
      <w:r>
        <w:rPr>
          <w:rFonts w:hint="eastAsia"/>
        </w:rPr>
        <w:t>在政府采购活动中，供应商提供的货物或者服务符合下列情形的，享受发展管理办法规定的中小企业扶持政策：</w:t>
      </w:r>
      <w:r>
        <w:br w:type="textWrapping"/>
      </w:r>
      <w:r>
        <w:rPr>
          <w:rFonts w:hint="eastAsia"/>
        </w:rPr>
        <w:t>（一）在货物采购项目中，货物由中小企业制造，即货物由中小企业生产且使用该中小企业商号或者注册商标；</w:t>
      </w:r>
      <w:r>
        <w:br w:type="textWrapping"/>
      </w:r>
      <w:r>
        <w:rPr>
          <w:rFonts w:hint="eastAsia"/>
        </w:rPr>
        <w:t>（二）在服务采购项目中，服务由中小企业承接，即提供服务的人员为中小企业依照《中华人民共和国劳动合同法》订立劳动合同的从业人员。</w:t>
      </w:r>
      <w:r>
        <w:br w:type="textWrapping"/>
      </w:r>
      <w:r>
        <w:rPr>
          <w:rFonts w:hint="eastAsia"/>
        </w:rPr>
        <w:t>在货物采购项目中，供应商提供的货物既有中小企业制造货物，也有大型企业制造货物的，</w:t>
      </w:r>
      <w:r>
        <w:rPr>
          <w:rFonts w:hint="eastAsia"/>
          <w:b/>
          <w:bCs/>
        </w:rPr>
        <w:t>不享受</w:t>
      </w:r>
      <w:r>
        <w:rPr>
          <w:rFonts w:hint="eastAsia"/>
        </w:rPr>
        <w:t>发展管理办法规定的中小企业扶持政策。</w:t>
      </w:r>
      <w:r>
        <w:br w:type="textWrapping"/>
      </w:r>
      <w:r>
        <w:rPr>
          <w:rFonts w:hint="eastAsia"/>
        </w:rPr>
        <w:t>以联合体形式参加政府采购活动，联合体各方均为中小企业的，联合体视同中小企业。其中，联合体各方均为小微企业的，联合体视同小微企业。</w:t>
      </w:r>
    </w:p>
    <w:p>
      <w:pPr>
        <w:ind w:left="836" w:hanging="836"/>
      </w:pPr>
      <w:r>
        <w:rPr>
          <w:rFonts w:hint="eastAsia"/>
        </w:rPr>
        <w:t>（3）</w:t>
      </w:r>
      <w:r>
        <w:tab/>
      </w:r>
      <w:r>
        <w:rPr>
          <w:rFonts w:hint="eastAsia"/>
        </w:rPr>
        <w:t>根据发展管理办法第十二条要求，</w:t>
      </w:r>
      <w:r>
        <w:t xml:space="preserve"> </w:t>
      </w:r>
      <w:r>
        <w:br w:type="textWrapping"/>
      </w:r>
      <w:r>
        <w:rPr>
          <w:rFonts w:hint="eastAsia"/>
        </w:rPr>
        <w:t>对无落实政府采购政策需满足的资格要求的项目/包件，对符合发展管理办法规定的小微企业报价给予6%的扣除，用扣除后的报价参与评审。</w:t>
      </w:r>
      <w:r>
        <w:br w:type="textWrapping"/>
      </w:r>
      <w:r>
        <w:rPr>
          <w:rFonts w:hint="eastAsia"/>
        </w:rPr>
        <w:t>对大中型企业与小微企业组成联合体的项目/包件或者大中型企业向一家或者多家小微企业分包的项目/包件，联合体其中一方提供的全部货物为小微企业制造或全部服务由小微企业承接，且联合协议约定小微企业的合同份额占到合同总金额30%以上的；接受分包的一方提供的全部货物为小微企业制造或全部服务由小微企业承接，且分包意向协议约定小微企业的合同份额占到合同总金额30%以上的，对投标报价给予2%的扣除，用扣除后的价格参加评审。组成联合体或者接受分包的小微企业与联合体内其他企业、分包企业之间存在直接控股、管理关系的，不享受价格扣除优惠政策。如果小微供应商提供的货物既有中型企业制造货物，也有小微企业制造货物的，不</w:t>
      </w:r>
      <w:r>
        <w:rPr>
          <w:rFonts w:hint="eastAsia"/>
          <w:color w:val="333333"/>
        </w:rPr>
        <w:t>享受价格扣除相关政策。</w:t>
      </w:r>
      <w:r>
        <w:br w:type="textWrapping"/>
      </w:r>
      <w:r>
        <w:rPr>
          <w:rFonts w:hint="eastAsia"/>
        </w:rPr>
        <w:t>价格扣除比例对小型企业和微型企业同等对待，不作区分。</w:t>
      </w:r>
    </w:p>
    <w:p>
      <w:pPr>
        <w:ind w:left="836" w:hanging="836"/>
      </w:pPr>
      <w:r>
        <w:rPr>
          <w:rFonts w:hint="eastAsia"/>
        </w:rPr>
        <w:t>（4）</w:t>
      </w:r>
      <w:r>
        <w:tab/>
      </w:r>
      <w:r>
        <w:rPr>
          <w:rFonts w:hint="eastAsia"/>
        </w:rPr>
        <w:t>中小企业参加政府采购活动，应当出具《中小企业声明函》，否则不得享受相关中小企业扶持政策，《中小企业声明函》</w:t>
      </w:r>
      <w:r>
        <w:rPr>
          <w:rFonts w:hint="eastAsia"/>
          <w:b/>
          <w:bCs/>
        </w:rPr>
        <w:t>格式见第六章响应文件格式附件</w:t>
      </w:r>
      <w:r>
        <w:rPr>
          <w:b/>
          <w:bCs/>
        </w:rPr>
        <w:t>12</w:t>
      </w:r>
      <w:r>
        <w:rPr>
          <w:rFonts w:hint="eastAsia"/>
          <w:b/>
          <w:bCs/>
        </w:rPr>
        <w:t>。</w:t>
      </w:r>
    </w:p>
    <w:p>
      <w:pPr>
        <w:ind w:left="836" w:hanging="836"/>
      </w:pPr>
      <w:r>
        <w:rPr>
          <w:rFonts w:hint="eastAsia"/>
        </w:rPr>
        <w:t>（5）</w:t>
      </w:r>
      <w:r>
        <w:rPr>
          <w:rFonts w:hint="eastAsia"/>
        </w:rPr>
        <w:tab/>
      </w:r>
      <w:r>
        <w:rPr>
          <w:rFonts w:hint="eastAsia"/>
        </w:rPr>
        <w:t>根据《关于政府采购支持监狱企业发展有关问题的通知》（财库[2014]68号）的要求，监狱和戒毒企业（以下简称监狱企业）参加政府采购活动时，应当提供由省级以上监狱管理局、戒毒管理局（含新疆生产建设兵团）出具的属于监狱企业的证明文件。监狱企业视同小型、微型企业，享受磋商文件规定的评审中价格扣除等促进中小企业发展的政府采购政策。</w:t>
      </w:r>
      <w:r>
        <w:br w:type="textWrapping"/>
      </w: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left="836" w:hanging="836"/>
      </w:pPr>
      <w:r>
        <w:rPr>
          <w:rFonts w:hint="eastAsia"/>
        </w:rPr>
        <w:t>（</w:t>
      </w:r>
      <w:r>
        <w:t>6</w:t>
      </w:r>
      <w:r>
        <w:rPr>
          <w:rFonts w:hint="eastAsia"/>
        </w:rPr>
        <w:t>）</w:t>
      </w:r>
      <w:r>
        <w:rPr>
          <w:rFonts w:hint="eastAsia"/>
        </w:rPr>
        <w:tab/>
      </w:r>
      <w:r>
        <w:rPr>
          <w:rFonts w:hint="eastAsia"/>
        </w:rPr>
        <w:t>根据《关于促进残疾人就业政府采购政策的通知》（财库〔2017〕141号）规定，磋商供应商如符合该规定享受政府采购支持政策的</w:t>
      </w:r>
      <w:r>
        <w:rPr>
          <w:rFonts w:hint="eastAsia"/>
          <w:b/>
          <w:bCs/>
        </w:rPr>
        <w:t>残疾人福利性单位</w:t>
      </w:r>
      <w:r>
        <w:rPr>
          <w:rFonts w:hint="eastAsia"/>
        </w:rPr>
        <w:t>的条件，应提供《残疾人福利性单位声明函》，</w:t>
      </w:r>
      <w:r>
        <w:rPr>
          <w:rFonts w:hint="eastAsia"/>
          <w:b/>
          <w:bCs/>
        </w:rPr>
        <w:t>格式见第六章响应文件格式附件</w:t>
      </w:r>
      <w:r>
        <w:rPr>
          <w:b/>
          <w:bCs/>
        </w:rPr>
        <w:t>13</w:t>
      </w:r>
      <w:r>
        <w:rPr>
          <w:rFonts w:hint="eastAsia"/>
        </w:rPr>
        <w:t>。残疾人福利性单位视同小型、微型企业，享受磋商文件规定的评审中价格扣除等促进中小企业发展的政府采购政策。残疾人福利性单位属于小型、微型企业的，不重复享受政策。</w:t>
      </w:r>
      <w:r>
        <w:br w:type="textWrapping"/>
      </w:r>
      <w:r>
        <w:rPr>
          <w:rFonts w:hint="eastAsia"/>
        </w:rPr>
        <w:t>享受政府采购支持政策的残疾人福利性单位应当同时满足以下条件：</w:t>
      </w:r>
      <w:r>
        <w:br w:type="textWrapping"/>
      </w:r>
      <w:r>
        <w:rPr>
          <w:rFonts w:hint="eastAsia"/>
        </w:rPr>
        <w:t>（一）安置的残疾人占本单位在职职工人数的比例不低于25%（含25%），并且安置的残疾人人数不少于10人（含10人）；</w:t>
      </w:r>
      <w:r>
        <w:br w:type="textWrapping"/>
      </w:r>
      <w:r>
        <w:rPr>
          <w:rFonts w:hint="eastAsia"/>
        </w:rPr>
        <w:t>（二）依法与安置的每位残疾人签订了一年以上（含一年）的劳动合同或服务协议；</w:t>
      </w:r>
      <w:r>
        <w:br w:type="textWrapping"/>
      </w:r>
      <w:r>
        <w:rPr>
          <w:rFonts w:hint="eastAsia"/>
        </w:rPr>
        <w:t>（三）为安置的每位残疾人按月足额缴纳了基本养老保险、基本医疗保险、失业保险、工伤保险和生育保险等社会保险费；</w:t>
      </w:r>
      <w:r>
        <w:br w:type="textWrapping"/>
      </w:r>
      <w:r>
        <w:rPr>
          <w:rFonts w:hint="eastAsia"/>
        </w:rPr>
        <w:t>（四）通过银行等金融机构向安置的每位残疾人，按月支付了不低于单位所在区县适用的经省级人民政府批准的月最低工资标准的工资；</w:t>
      </w:r>
      <w:r>
        <w:br w:type="textWrapping"/>
      </w:r>
      <w:r>
        <w:rPr>
          <w:rFonts w:hint="eastAsia"/>
        </w:rPr>
        <w:t>（五）提供本单位制造的货物、承担的工程或者服务（以下简称产品），或者提供其他残疾人福利性单位制造的货物（不包括使用非残疾人福利性单位注册商标的货物）。</w:t>
      </w:r>
      <w:r>
        <w:br w:type="textWrapping"/>
      </w: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left="836" w:hanging="836"/>
      </w:pPr>
      <w:r>
        <w:rPr>
          <w:rFonts w:hint="eastAsia"/>
        </w:rPr>
        <w:t>（</w:t>
      </w:r>
      <w:r>
        <w:t>7</w:t>
      </w:r>
      <w:r>
        <w:rPr>
          <w:rFonts w:hint="eastAsia"/>
        </w:rPr>
        <w:t>）</w:t>
      </w:r>
      <w:r>
        <w:tab/>
      </w:r>
      <w:r>
        <w:rPr>
          <w:rFonts w:hint="eastAsia"/>
        </w:rPr>
        <w:t>投标人为联合或投标人进行分包，且报价中有中小企业报价的，需填报《分项报价表</w:t>
      </w:r>
      <w:r>
        <w:rPr>
          <w:rFonts w:hint="eastAsia" w:hAnsiTheme="minorEastAsia"/>
        </w:rPr>
        <w:t>Ⅱ</w:t>
      </w:r>
      <w:r>
        <w:rPr>
          <w:rFonts w:hint="eastAsia"/>
        </w:rPr>
        <w:t>（仅针对中小企业）》。</w:t>
      </w:r>
    </w:p>
    <w:p>
      <w:pPr>
        <w:pStyle w:val="4"/>
      </w:pPr>
      <w:bookmarkStart w:id="5" w:name="_Toc71560337"/>
      <w:r>
        <w:rPr>
          <w:rFonts w:hint="eastAsia"/>
        </w:rPr>
        <w:t>2、鼓励节能、环保政策落实</w:t>
      </w:r>
      <w:bookmarkEnd w:id="5"/>
    </w:p>
    <w:p>
      <w:pPr>
        <w:ind w:left="836" w:hanging="836"/>
        <w:rPr>
          <w:rFonts w:hAnsiTheme="minorEastAsia"/>
        </w:rPr>
      </w:pPr>
      <w:r>
        <w:rPr>
          <w:rFonts w:hint="eastAsia" w:hAnsiTheme="minorEastAsia"/>
        </w:rPr>
        <w:t>（</w:t>
      </w:r>
      <w:r>
        <w:rPr>
          <w:rFonts w:hAnsiTheme="minorEastAsia"/>
        </w:rPr>
        <w:t>1</w:t>
      </w:r>
      <w:r>
        <w:rPr>
          <w:rFonts w:hint="eastAsia" w:hAnsiTheme="minorEastAsia"/>
        </w:rPr>
        <w:t>）</w:t>
      </w:r>
      <w:r>
        <w:rPr>
          <w:rFonts w:hint="eastAsia" w:hAnsiTheme="minorEastAsia"/>
        </w:rPr>
        <w:tab/>
      </w:r>
      <w:r>
        <w:rPr>
          <w:rFonts w:hint="eastAsia" w:hAnsiTheme="minorEastAsia"/>
        </w:rPr>
        <w:t>鼓励节能政策：在性能、技术、服务等指标同等条件下，优先采购</w:t>
      </w:r>
      <w:r>
        <w:rPr>
          <w:rFonts w:hint="eastAsia"/>
        </w:rPr>
        <w:t>国家确定的</w:t>
      </w:r>
      <w:r>
        <w:rPr>
          <w:rFonts w:hint="eastAsia" w:hAnsiTheme="minorEastAsia"/>
        </w:rPr>
        <w:t>认证机构出具的、处于有效期之内的节能产品认证证书标志产品。</w:t>
      </w:r>
    </w:p>
    <w:p>
      <w:pPr>
        <w:ind w:left="836" w:hanging="836"/>
        <w:rPr>
          <w:rFonts w:hAnsiTheme="minorEastAsia"/>
        </w:rPr>
      </w:pPr>
      <w:r>
        <w:rPr>
          <w:rFonts w:hint="eastAsia" w:hAnsiTheme="minorEastAsia"/>
        </w:rPr>
        <w:t>（</w:t>
      </w:r>
      <w:r>
        <w:rPr>
          <w:rFonts w:hAnsiTheme="minorEastAsia"/>
        </w:rPr>
        <w:t>2</w:t>
      </w:r>
      <w:r>
        <w:rPr>
          <w:rFonts w:hint="eastAsia" w:hAnsiTheme="minorEastAsia"/>
        </w:rPr>
        <w:t>）</w:t>
      </w:r>
      <w:r>
        <w:rPr>
          <w:rFonts w:hint="eastAsia" w:hAnsiTheme="minorEastAsia"/>
        </w:rPr>
        <w:tab/>
      </w:r>
      <w:r>
        <w:rPr>
          <w:rFonts w:hint="eastAsia" w:hAnsiTheme="minorEastAsia"/>
        </w:rPr>
        <w:tab/>
      </w:r>
      <w:r>
        <w:rPr>
          <w:rFonts w:hint="eastAsia" w:hAnsiTheme="minorEastAsia"/>
        </w:rPr>
        <w:t>鼓励环保政策：在性能、技术、服务等指标同等条件下，优先采购</w:t>
      </w:r>
      <w:r>
        <w:rPr>
          <w:rFonts w:hint="eastAsia"/>
        </w:rPr>
        <w:t>国家确定的</w:t>
      </w:r>
      <w:r>
        <w:rPr>
          <w:rFonts w:hint="eastAsia" w:hAnsiTheme="minorEastAsia"/>
        </w:rPr>
        <w:t>认证机构出具的、处于有效期之内的环境标志产品认证证书标志产品。</w:t>
      </w:r>
    </w:p>
    <w:p/>
    <w:p>
      <w:pPr>
        <w:pStyle w:val="3"/>
      </w:pPr>
      <w:bookmarkStart w:id="6" w:name="_Toc71560338"/>
      <w:r>
        <w:rPr>
          <w:rFonts w:hint="eastAsia"/>
        </w:rPr>
        <w:t>三、评分标准</w:t>
      </w:r>
      <w:bookmarkEnd w:id="6"/>
    </w:p>
    <w:p>
      <w:pPr>
        <w:pStyle w:val="68"/>
        <w:numPr>
          <w:ilvl w:val="0"/>
          <w:numId w:val="8"/>
        </w:numPr>
        <w:adjustRightInd/>
        <w:snapToGrid/>
        <w:spacing w:line="360" w:lineRule="auto"/>
        <w:ind w:firstLineChars="0"/>
        <w:rPr>
          <w:rFonts w:ascii="Arial" w:hAnsi="Arial" w:cs="Arial"/>
          <w:b/>
          <w:bCs/>
          <w:szCs w:val="24"/>
        </w:rPr>
      </w:pPr>
      <w:r>
        <w:rPr>
          <w:rFonts w:ascii="Arial" w:hAnsi="Arial" w:cs="Arial"/>
          <w:b/>
          <w:bCs/>
          <w:szCs w:val="24"/>
        </w:rPr>
        <w:t>评分</w:t>
      </w:r>
      <w:r>
        <w:rPr>
          <w:rFonts w:hint="eastAsia" w:ascii="Arial" w:hAnsi="Arial" w:cs="Arial"/>
          <w:b/>
          <w:bCs/>
          <w:szCs w:val="24"/>
        </w:rPr>
        <w:t>标准</w:t>
      </w:r>
    </w:p>
    <w:tbl>
      <w:tblPr>
        <w:tblStyle w:val="27"/>
        <w:tblpPr w:leftFromText="180" w:rightFromText="180" w:vertAnchor="text" w:horzAnchor="margin" w:tblpY="69"/>
        <w:tblW w:w="94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85"/>
        <w:gridCol w:w="4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485" w:type="dxa"/>
            <w:vAlign w:val="center"/>
          </w:tcPr>
          <w:p>
            <w:pPr>
              <w:spacing w:line="276" w:lineRule="auto"/>
              <w:jc w:val="center"/>
              <w:rPr>
                <w:rFonts w:ascii="Arial" w:hAnsi="Arial" w:cs="Arial"/>
                <w:b/>
              </w:rPr>
            </w:pPr>
            <w:r>
              <w:rPr>
                <w:rFonts w:ascii="Arial" w:hAnsi="Arial" w:cs="Arial"/>
                <w:b/>
              </w:rPr>
              <w:t>评分因素</w:t>
            </w:r>
          </w:p>
        </w:tc>
        <w:tc>
          <w:tcPr>
            <w:tcW w:w="4979" w:type="dxa"/>
            <w:vAlign w:val="center"/>
          </w:tcPr>
          <w:p>
            <w:pPr>
              <w:spacing w:line="276" w:lineRule="auto"/>
              <w:jc w:val="center"/>
              <w:rPr>
                <w:rFonts w:ascii="Arial" w:hAnsi="Arial" w:cs="Arial"/>
                <w:b/>
              </w:rPr>
            </w:pPr>
            <w:r>
              <w:rPr>
                <w:rFonts w:ascii="Arial" w:hAnsi="Arial" w:cs="Arial"/>
                <w:b/>
              </w:rPr>
              <w:t>分值分配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4485" w:type="dxa"/>
            <w:vAlign w:val="center"/>
          </w:tcPr>
          <w:p>
            <w:pPr>
              <w:spacing w:line="276" w:lineRule="auto"/>
              <w:jc w:val="center"/>
              <w:rPr>
                <w:rFonts w:ascii="Arial" w:hAnsi="Arial" w:cs="Arial"/>
              </w:rPr>
            </w:pPr>
            <w:r>
              <w:rPr>
                <w:rFonts w:ascii="Arial" w:hAnsi="Arial" w:cs="Arial"/>
              </w:rPr>
              <w:t>价格部分</w:t>
            </w:r>
          </w:p>
        </w:tc>
        <w:tc>
          <w:tcPr>
            <w:tcW w:w="4979" w:type="dxa"/>
            <w:vAlign w:val="center"/>
          </w:tcPr>
          <w:p>
            <w:pPr>
              <w:spacing w:line="276" w:lineRule="auto"/>
              <w:jc w:val="center"/>
              <w:rPr>
                <w:rFonts w:ascii="Arial" w:hAnsi="Arial" w:cs="Arial"/>
              </w:rPr>
            </w:pPr>
            <w:r>
              <w:rPr>
                <w:rFonts w:hint="eastAsia" w:ascii="Arial" w:hAnsi="Arial" w:cs="Arial"/>
              </w:rPr>
              <w:t>3</w:t>
            </w:r>
            <w:r>
              <w:rPr>
                <w:rFonts w:ascii="Arial" w:hAnsi="Arial" w:cs="Arial"/>
              </w:rPr>
              <w:t>0</w:t>
            </w:r>
            <w:r>
              <w:rPr>
                <w:rFonts w:hint="eastAsia" w:ascii="Arial" w:hAnsi="Arial" w:cs="Aria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4485" w:type="dxa"/>
            <w:vAlign w:val="center"/>
          </w:tcPr>
          <w:p>
            <w:pPr>
              <w:spacing w:line="276" w:lineRule="auto"/>
              <w:jc w:val="center"/>
              <w:rPr>
                <w:rFonts w:ascii="Arial" w:hAnsi="Arial" w:cs="Arial"/>
              </w:rPr>
            </w:pPr>
            <w:r>
              <w:rPr>
                <w:rFonts w:ascii="Arial" w:hAnsi="Arial" w:cs="Arial"/>
              </w:rPr>
              <w:t>商务部分</w:t>
            </w:r>
          </w:p>
        </w:tc>
        <w:tc>
          <w:tcPr>
            <w:tcW w:w="4979" w:type="dxa"/>
            <w:vAlign w:val="center"/>
          </w:tcPr>
          <w:p>
            <w:pPr>
              <w:spacing w:line="276" w:lineRule="auto"/>
              <w:jc w:val="center"/>
              <w:rPr>
                <w:rFonts w:ascii="Arial" w:hAnsi="Arial" w:cs="Arial"/>
              </w:rPr>
            </w:pPr>
            <w:r>
              <w:rPr>
                <w:rFonts w:hint="eastAsia" w:ascii="Arial" w:hAnsi="Arial" w:cs="Arial"/>
              </w:rPr>
              <w:t>15</w:t>
            </w:r>
            <w:r>
              <w:rPr>
                <w:rFonts w:ascii="Arial" w:hAnsi="Arial" w:cs="Aria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4485" w:type="dxa"/>
            <w:vAlign w:val="center"/>
          </w:tcPr>
          <w:p>
            <w:pPr>
              <w:spacing w:line="276" w:lineRule="auto"/>
              <w:jc w:val="center"/>
              <w:rPr>
                <w:rFonts w:ascii="Arial" w:hAnsi="Arial" w:cs="Arial"/>
              </w:rPr>
            </w:pPr>
            <w:r>
              <w:rPr>
                <w:rFonts w:ascii="Arial" w:hAnsi="Arial" w:cs="Arial"/>
              </w:rPr>
              <w:t>技术服务</w:t>
            </w:r>
          </w:p>
        </w:tc>
        <w:tc>
          <w:tcPr>
            <w:tcW w:w="4979" w:type="dxa"/>
            <w:vAlign w:val="center"/>
          </w:tcPr>
          <w:p>
            <w:pPr>
              <w:spacing w:line="276" w:lineRule="auto"/>
              <w:jc w:val="center"/>
              <w:rPr>
                <w:rFonts w:ascii="Arial" w:hAnsi="Arial" w:cs="Arial"/>
              </w:rPr>
            </w:pPr>
            <w:r>
              <w:rPr>
                <w:rFonts w:hint="eastAsia" w:ascii="Arial" w:hAnsi="Arial" w:cs="Arial"/>
              </w:rPr>
              <w:t>55分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4485" w:type="dxa"/>
            <w:vAlign w:val="center"/>
          </w:tcPr>
          <w:p>
            <w:pPr>
              <w:spacing w:line="276" w:lineRule="auto"/>
              <w:jc w:val="center"/>
              <w:rPr>
                <w:rFonts w:ascii="Arial" w:hAnsi="Arial" w:cs="Arial"/>
              </w:rPr>
            </w:pPr>
            <w:r>
              <w:rPr>
                <w:rFonts w:ascii="Arial" w:hAnsi="Arial" w:cs="Arial"/>
              </w:rPr>
              <w:t>合计</w:t>
            </w:r>
          </w:p>
        </w:tc>
        <w:tc>
          <w:tcPr>
            <w:tcW w:w="4979" w:type="dxa"/>
            <w:vAlign w:val="center"/>
          </w:tcPr>
          <w:p>
            <w:pPr>
              <w:spacing w:line="276" w:lineRule="auto"/>
              <w:jc w:val="center"/>
              <w:rPr>
                <w:rFonts w:ascii="Arial" w:hAnsi="Arial" w:cs="Arial"/>
              </w:rPr>
            </w:pPr>
            <w:r>
              <w:rPr>
                <w:rFonts w:ascii="Arial" w:hAnsi="Arial" w:cs="Arial"/>
              </w:rPr>
              <w:t>100分</w:t>
            </w:r>
          </w:p>
        </w:tc>
      </w:tr>
    </w:tbl>
    <w:p>
      <w:pPr>
        <w:pStyle w:val="78"/>
        <w:spacing w:line="360" w:lineRule="auto"/>
        <w:ind w:left="720" w:firstLine="0" w:firstLineChars="0"/>
        <w:rPr>
          <w:rFonts w:ascii="Arial" w:hAnsi="Arial" w:cs="Arial"/>
          <w:b/>
          <w:sz w:val="24"/>
        </w:rPr>
      </w:pPr>
    </w:p>
    <w:tbl>
      <w:tblPr>
        <w:tblStyle w:val="27"/>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52"/>
        <w:gridCol w:w="1275"/>
        <w:gridCol w:w="581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w:hAnsi="Arial" w:cs="Arial"/>
                <w:b/>
              </w:rPr>
            </w:pPr>
            <w:r>
              <w:rPr>
                <w:rFonts w:ascii="Arial" w:hAnsi="Arial" w:cs="Arial"/>
                <w:b/>
              </w:rPr>
              <w:t>序号</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w:hAnsi="Arial" w:cs="Arial"/>
                <w:b/>
              </w:rPr>
            </w:pPr>
            <w:r>
              <w:rPr>
                <w:rFonts w:ascii="Arial" w:hAnsi="Arial" w:cs="Arial"/>
                <w:b/>
              </w:rPr>
              <w:t>项目</w:t>
            </w:r>
          </w:p>
        </w:tc>
        <w:tc>
          <w:tcPr>
            <w:tcW w:w="70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w:hAnsi="Arial" w:cs="Arial"/>
                <w:b/>
              </w:rPr>
            </w:pPr>
            <w:r>
              <w:rPr>
                <w:rFonts w:ascii="Arial" w:hAnsi="Arial" w:cs="Arial"/>
                <w:b/>
              </w:rPr>
              <w:t>评分内容</w:t>
            </w:r>
          </w:p>
        </w:tc>
        <w:tc>
          <w:tcPr>
            <w:tcW w:w="79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w:hAnsi="Arial" w:cs="Arial"/>
                <w:b/>
              </w:rPr>
            </w:pPr>
            <w:r>
              <w:rPr>
                <w:rFonts w:ascii="Arial" w:hAnsi="Arial" w:cs="Arial"/>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534" w:type="dxa"/>
            <w:vAlign w:val="center"/>
          </w:tcPr>
          <w:p>
            <w:pPr>
              <w:jc w:val="center"/>
              <w:rPr>
                <w:rFonts w:ascii="Arial" w:hAnsi="Arial" w:cs="Arial"/>
              </w:rPr>
            </w:pPr>
            <w:r>
              <w:rPr>
                <w:rFonts w:ascii="Arial" w:hAnsi="Arial" w:cs="Arial"/>
              </w:rPr>
              <w:t>1</w:t>
            </w:r>
          </w:p>
        </w:tc>
        <w:tc>
          <w:tcPr>
            <w:tcW w:w="1052" w:type="dxa"/>
            <w:vAlign w:val="center"/>
          </w:tcPr>
          <w:p>
            <w:pPr>
              <w:jc w:val="center"/>
              <w:rPr>
                <w:rFonts w:ascii="Arial" w:hAnsi="Arial" w:cs="Arial"/>
              </w:rPr>
            </w:pPr>
            <w:r>
              <w:rPr>
                <w:rFonts w:ascii="Arial" w:hAnsi="Arial" w:cs="Arial"/>
              </w:rPr>
              <w:t>价格</w:t>
            </w:r>
          </w:p>
          <w:p>
            <w:pPr>
              <w:jc w:val="center"/>
              <w:rPr>
                <w:rFonts w:ascii="Arial" w:hAnsi="Arial" w:cs="Arial"/>
              </w:rPr>
            </w:pPr>
            <w:r>
              <w:rPr>
                <w:rFonts w:ascii="Arial" w:hAnsi="Arial" w:cs="Arial"/>
              </w:rPr>
              <w:t>部分</w:t>
            </w:r>
          </w:p>
          <w:p>
            <w:pPr>
              <w:jc w:val="center"/>
              <w:rPr>
                <w:rFonts w:ascii="Arial" w:hAnsi="Arial" w:cs="Arial"/>
              </w:rPr>
            </w:pPr>
            <w:r>
              <w:rPr>
                <w:rFonts w:ascii="Arial" w:hAnsi="Arial" w:cs="Arial"/>
              </w:rPr>
              <w:t>（</w:t>
            </w:r>
            <w:r>
              <w:rPr>
                <w:rFonts w:hint="eastAsia" w:ascii="Arial" w:hAnsi="Arial" w:cs="Arial"/>
              </w:rPr>
              <w:t>3</w:t>
            </w:r>
            <w:r>
              <w:rPr>
                <w:rFonts w:ascii="Arial" w:hAnsi="Arial" w:cs="Arial"/>
              </w:rPr>
              <w:t>0</w:t>
            </w:r>
            <w:r>
              <w:rPr>
                <w:rFonts w:hint="eastAsia" w:ascii="Arial" w:hAnsi="Arial" w:cs="Arial"/>
              </w:rPr>
              <w:t>分</w:t>
            </w:r>
            <w:r>
              <w:rPr>
                <w:rFonts w:ascii="Arial" w:hAnsi="Arial" w:cs="Arial"/>
              </w:rPr>
              <w:t>）</w:t>
            </w:r>
          </w:p>
        </w:tc>
        <w:tc>
          <w:tcPr>
            <w:tcW w:w="1275" w:type="dxa"/>
            <w:vAlign w:val="center"/>
          </w:tcPr>
          <w:p>
            <w:pPr>
              <w:jc w:val="left"/>
              <w:rPr>
                <w:rFonts w:ascii="Arial" w:hAnsi="Arial" w:cs="Arial"/>
              </w:rPr>
            </w:pPr>
            <w:r>
              <w:rPr>
                <w:rFonts w:hint="eastAsia" w:ascii="Arial" w:hAnsi="Arial" w:cs="Arial"/>
              </w:rPr>
              <w:t>响应</w:t>
            </w:r>
            <w:r>
              <w:rPr>
                <w:rFonts w:ascii="Arial" w:hAnsi="Arial" w:cs="Arial"/>
              </w:rPr>
              <w:t>报价</w:t>
            </w:r>
          </w:p>
        </w:tc>
        <w:tc>
          <w:tcPr>
            <w:tcW w:w="5812" w:type="dxa"/>
            <w:vAlign w:val="center"/>
          </w:tcPr>
          <w:p>
            <w:pPr>
              <w:spacing w:line="276" w:lineRule="auto"/>
              <w:rPr>
                <w:rFonts w:ascii="Arial" w:hAnsi="Arial" w:cs="Arial"/>
              </w:rPr>
            </w:pPr>
            <w:r>
              <w:rPr>
                <w:rFonts w:hint="eastAsia" w:ascii="Arial" w:hAnsi="Arial" w:cs="Arial"/>
              </w:rPr>
              <w:t>1.</w:t>
            </w:r>
            <w:r>
              <w:rPr>
                <w:rFonts w:ascii="Arial" w:hAnsi="Arial" w:cs="Arial"/>
              </w:rPr>
              <w:t>运输基本费</w:t>
            </w:r>
            <w:r>
              <w:rPr>
                <w:rFonts w:hint="eastAsia" w:ascii="Arial" w:hAnsi="Arial" w:cs="Arial"/>
              </w:rPr>
              <w:t>：</w:t>
            </w:r>
          </w:p>
          <w:p>
            <w:pPr>
              <w:spacing w:line="276" w:lineRule="auto"/>
              <w:rPr>
                <w:rFonts w:ascii="Arial" w:hAnsi="Arial" w:cs="Arial"/>
              </w:rPr>
            </w:pPr>
            <w:r>
              <w:rPr>
                <w:rFonts w:ascii="Arial" w:hAnsi="Arial" w:cs="Arial"/>
              </w:rPr>
              <w:t>采用低价优先法计算，即满足磋商文件要求且报价最低的为</w:t>
            </w:r>
            <w:r>
              <w:rPr>
                <w:rFonts w:hint="eastAsia" w:ascii="Arial" w:hAnsi="Arial" w:cs="Arial"/>
              </w:rPr>
              <w:t>评审</w:t>
            </w:r>
            <w:r>
              <w:rPr>
                <w:rFonts w:ascii="Arial" w:hAnsi="Arial" w:cs="Arial"/>
              </w:rPr>
              <w:t>基准价，其价格分为满分。</w:t>
            </w:r>
          </w:p>
          <w:p>
            <w:pPr>
              <w:widowControl/>
              <w:rPr>
                <w:rFonts w:ascii="Arial" w:hAnsi="Arial" w:cs="Arial"/>
                <w:kern w:val="0"/>
              </w:rPr>
            </w:pPr>
            <w:r>
              <w:rPr>
                <w:rFonts w:ascii="Arial" w:hAnsi="Arial" w:cs="Arial"/>
                <w:kern w:val="0"/>
              </w:rPr>
              <w:t>报价得分=（</w:t>
            </w:r>
            <w:r>
              <w:rPr>
                <w:rFonts w:hint="eastAsia" w:ascii="Arial" w:hAnsi="Arial" w:cs="Arial"/>
                <w:kern w:val="0"/>
              </w:rPr>
              <w:t>评审</w:t>
            </w:r>
            <w:r>
              <w:rPr>
                <w:rFonts w:ascii="Arial" w:hAnsi="Arial" w:cs="Arial"/>
                <w:kern w:val="0"/>
              </w:rPr>
              <w:t>基准价／</w:t>
            </w:r>
            <w:r>
              <w:rPr>
                <w:rFonts w:hint="eastAsia" w:ascii="Arial" w:hAnsi="Arial" w:cs="Arial"/>
                <w:kern w:val="0"/>
              </w:rPr>
              <w:t>响应</w:t>
            </w:r>
            <w:r>
              <w:rPr>
                <w:rFonts w:ascii="Arial" w:hAnsi="Arial" w:cs="Arial"/>
                <w:kern w:val="0"/>
              </w:rPr>
              <w:t>报价）×</w:t>
            </w:r>
            <w:r>
              <w:rPr>
                <w:rFonts w:hint="eastAsia" w:ascii="Arial" w:hAnsi="Arial" w:cs="Arial"/>
                <w:kern w:val="0"/>
              </w:rPr>
              <w:t>24。</w:t>
            </w:r>
            <w:r>
              <w:rPr>
                <w:rFonts w:ascii="Arial" w:hAnsi="Arial" w:cs="Arial"/>
                <w:kern w:val="0"/>
              </w:rPr>
              <w:t>（得分保留两位小数）</w:t>
            </w:r>
          </w:p>
          <w:p>
            <w:pPr>
              <w:spacing w:line="276" w:lineRule="auto"/>
              <w:rPr>
                <w:rFonts w:ascii="Arial" w:hAnsi="Arial" w:cs="Arial"/>
              </w:rPr>
            </w:pPr>
            <w:r>
              <w:rPr>
                <w:rFonts w:hint="eastAsia" w:ascii="Arial" w:hAnsi="Arial" w:cs="Arial"/>
              </w:rPr>
              <w:t>2.</w:t>
            </w:r>
            <w:r>
              <w:rPr>
                <w:rFonts w:ascii="Arial" w:hAnsi="Arial" w:cs="Arial"/>
              </w:rPr>
              <w:t>运输</w:t>
            </w:r>
            <w:r>
              <w:rPr>
                <w:rFonts w:hint="eastAsia" w:ascii="Arial" w:hAnsi="Arial" w:cs="Arial"/>
              </w:rPr>
              <w:t>附加</w:t>
            </w:r>
            <w:r>
              <w:rPr>
                <w:rFonts w:ascii="Arial" w:hAnsi="Arial" w:cs="Arial"/>
              </w:rPr>
              <w:t>费</w:t>
            </w:r>
            <w:r>
              <w:rPr>
                <w:rFonts w:hint="eastAsia" w:ascii="Arial" w:hAnsi="Arial" w:cs="Arial"/>
              </w:rPr>
              <w:t>：</w:t>
            </w:r>
          </w:p>
          <w:p>
            <w:pPr>
              <w:spacing w:line="276" w:lineRule="auto"/>
              <w:rPr>
                <w:rFonts w:ascii="Arial" w:hAnsi="Arial" w:cs="Arial"/>
              </w:rPr>
            </w:pPr>
            <w:r>
              <w:rPr>
                <w:rFonts w:ascii="Arial" w:hAnsi="Arial" w:cs="Arial"/>
              </w:rPr>
              <w:t>采用低价优先法计算，即满足磋商文件要求且报价最低的为</w:t>
            </w:r>
            <w:r>
              <w:rPr>
                <w:rFonts w:hint="eastAsia" w:ascii="Arial" w:hAnsi="Arial" w:cs="Arial"/>
              </w:rPr>
              <w:t>评审</w:t>
            </w:r>
            <w:r>
              <w:rPr>
                <w:rFonts w:ascii="Arial" w:hAnsi="Arial" w:cs="Arial"/>
              </w:rPr>
              <w:t>基准价，其价格分为满分。</w:t>
            </w:r>
          </w:p>
          <w:p>
            <w:pPr>
              <w:widowControl/>
              <w:rPr>
                <w:rFonts w:ascii="Arial" w:hAnsi="Arial" w:cs="Arial"/>
                <w:kern w:val="0"/>
              </w:rPr>
            </w:pPr>
            <w:r>
              <w:rPr>
                <w:rFonts w:ascii="Arial" w:hAnsi="Arial" w:cs="Arial"/>
                <w:kern w:val="0"/>
              </w:rPr>
              <w:t>报价得分=（</w:t>
            </w:r>
            <w:r>
              <w:rPr>
                <w:rFonts w:hint="eastAsia" w:ascii="Arial" w:hAnsi="Arial" w:cs="Arial"/>
                <w:kern w:val="0"/>
              </w:rPr>
              <w:t>评审</w:t>
            </w:r>
            <w:r>
              <w:rPr>
                <w:rFonts w:ascii="Arial" w:hAnsi="Arial" w:cs="Arial"/>
                <w:kern w:val="0"/>
              </w:rPr>
              <w:t>基准价／</w:t>
            </w:r>
            <w:r>
              <w:rPr>
                <w:rFonts w:hint="eastAsia" w:ascii="Arial" w:hAnsi="Arial" w:cs="Arial"/>
                <w:kern w:val="0"/>
              </w:rPr>
              <w:t>响应</w:t>
            </w:r>
            <w:r>
              <w:rPr>
                <w:rFonts w:ascii="Arial" w:hAnsi="Arial" w:cs="Arial"/>
                <w:kern w:val="0"/>
              </w:rPr>
              <w:t>报价）×</w:t>
            </w:r>
            <w:r>
              <w:rPr>
                <w:rFonts w:hint="eastAsia" w:ascii="Arial" w:hAnsi="Arial" w:cs="Arial"/>
                <w:kern w:val="0"/>
              </w:rPr>
              <w:t>6。</w:t>
            </w:r>
            <w:r>
              <w:rPr>
                <w:rFonts w:ascii="Arial" w:hAnsi="Arial" w:cs="Arial"/>
                <w:kern w:val="0"/>
              </w:rPr>
              <w:t>（得分保留两位小数）</w:t>
            </w:r>
          </w:p>
        </w:tc>
        <w:tc>
          <w:tcPr>
            <w:tcW w:w="791" w:type="dxa"/>
            <w:vAlign w:val="center"/>
          </w:tcPr>
          <w:p>
            <w:pPr>
              <w:jc w:val="center"/>
              <w:rPr>
                <w:rFonts w:ascii="Arial" w:hAnsi="Arial" w:cs="Arial"/>
              </w:rPr>
            </w:pPr>
            <w:r>
              <w:rPr>
                <w:rFonts w:hint="eastAsia" w:ascii="Arial" w:hAnsi="Arial" w:cs="Arial"/>
              </w:rPr>
              <w:t>0-3</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34" w:type="dxa"/>
            <w:vMerge w:val="restart"/>
            <w:vAlign w:val="center"/>
          </w:tcPr>
          <w:p>
            <w:pPr>
              <w:jc w:val="center"/>
              <w:rPr>
                <w:rFonts w:ascii="Arial" w:hAnsi="Arial" w:cs="Arial"/>
              </w:rPr>
            </w:pPr>
            <w:r>
              <w:rPr>
                <w:rFonts w:hint="eastAsia" w:ascii="Arial" w:hAnsi="Arial" w:cs="Arial"/>
              </w:rPr>
              <w:t>2</w:t>
            </w:r>
          </w:p>
        </w:tc>
        <w:tc>
          <w:tcPr>
            <w:tcW w:w="1052" w:type="dxa"/>
            <w:vMerge w:val="restart"/>
            <w:vAlign w:val="center"/>
          </w:tcPr>
          <w:p>
            <w:pPr>
              <w:jc w:val="center"/>
              <w:rPr>
                <w:rFonts w:ascii="Arial" w:hAnsi="Arial" w:cs="Arial"/>
              </w:rPr>
            </w:pPr>
            <w:r>
              <w:rPr>
                <w:rFonts w:hint="eastAsia" w:ascii="Arial" w:hAnsi="Arial" w:cs="Arial"/>
              </w:rPr>
              <w:t>商务部分（15分）</w:t>
            </w:r>
          </w:p>
        </w:tc>
        <w:tc>
          <w:tcPr>
            <w:tcW w:w="1275" w:type="dxa"/>
            <w:vAlign w:val="center"/>
          </w:tcPr>
          <w:p>
            <w:pPr>
              <w:jc w:val="center"/>
              <w:rPr>
                <w:rFonts w:ascii="Arial" w:hAnsi="Arial" w:cs="Arial"/>
              </w:rPr>
            </w:pPr>
            <w:r>
              <w:rPr>
                <w:rFonts w:hint="eastAsia" w:ascii="Arial" w:hAnsi="Arial" w:cs="Arial"/>
              </w:rPr>
              <w:t>运输经验</w:t>
            </w:r>
          </w:p>
        </w:tc>
        <w:tc>
          <w:tcPr>
            <w:tcW w:w="5812" w:type="dxa"/>
            <w:vAlign w:val="center"/>
          </w:tcPr>
          <w:p>
            <w:pPr>
              <w:widowControl/>
              <w:jc w:val="left"/>
              <w:rPr>
                <w:rFonts w:ascii="Arial" w:hAnsi="Arial" w:cs="Arial"/>
              </w:rPr>
            </w:pPr>
            <w:r>
              <w:rPr>
                <w:rFonts w:hint="eastAsia" w:ascii="Arial" w:hAnsi="Arial" w:cs="Arial"/>
              </w:rPr>
              <w:t>运输经验：有五年（含）以上的运输经验得10分，四年得8分，三年得6分，二年得4分，一年得2分，一年（不含）以下得0分；</w:t>
            </w:r>
          </w:p>
          <w:p>
            <w:pPr>
              <w:widowControl/>
              <w:jc w:val="left"/>
              <w:rPr>
                <w:rFonts w:ascii="Arial" w:hAnsi="Arial" w:cs="Arial"/>
              </w:rPr>
            </w:pPr>
            <w:r>
              <w:rPr>
                <w:rFonts w:hint="eastAsia" w:ascii="Arial" w:hAnsi="Arial" w:cs="Arial"/>
              </w:rPr>
              <w:t>注：需提供近年内每一年度的任意一份合同（合同首页、关键页、日期页等复印件），未提供证明材料的为无效业绩。</w:t>
            </w:r>
          </w:p>
        </w:tc>
        <w:tc>
          <w:tcPr>
            <w:tcW w:w="791" w:type="dxa"/>
            <w:vAlign w:val="center"/>
          </w:tcPr>
          <w:p>
            <w:pPr>
              <w:jc w:val="center"/>
              <w:rPr>
                <w:rFonts w:ascii="Arial" w:hAnsi="Arial" w:cs="Arial"/>
              </w:rPr>
            </w:pPr>
            <w:r>
              <w:rPr>
                <w:rFonts w:hint="eastAsia" w:ascii="Arial" w:hAnsi="Arial" w:cs="Aria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534" w:type="dxa"/>
            <w:vMerge w:val="continue"/>
            <w:vAlign w:val="center"/>
          </w:tcPr>
          <w:p>
            <w:pPr>
              <w:jc w:val="center"/>
              <w:rPr>
                <w:rFonts w:ascii="Arial" w:hAnsi="Arial" w:cs="Arial"/>
              </w:rPr>
            </w:pPr>
          </w:p>
        </w:tc>
        <w:tc>
          <w:tcPr>
            <w:tcW w:w="1052" w:type="dxa"/>
            <w:vMerge w:val="continue"/>
            <w:vAlign w:val="center"/>
          </w:tcPr>
          <w:p>
            <w:pPr>
              <w:jc w:val="center"/>
              <w:rPr>
                <w:rFonts w:ascii="Arial" w:hAnsi="Arial" w:cs="Arial"/>
              </w:rPr>
            </w:pPr>
          </w:p>
        </w:tc>
        <w:tc>
          <w:tcPr>
            <w:tcW w:w="1275" w:type="dxa"/>
            <w:vAlign w:val="center"/>
          </w:tcPr>
          <w:p>
            <w:pPr>
              <w:jc w:val="center"/>
              <w:rPr>
                <w:rFonts w:ascii="Arial" w:hAnsi="Arial" w:cs="Arial"/>
              </w:rPr>
            </w:pPr>
            <w:r>
              <w:rPr>
                <w:rFonts w:hint="eastAsia" w:ascii="Arial" w:hAnsi="Arial" w:cs="Arial"/>
              </w:rPr>
              <w:t>同类项目客户数量</w:t>
            </w:r>
          </w:p>
        </w:tc>
        <w:tc>
          <w:tcPr>
            <w:tcW w:w="5812" w:type="dxa"/>
            <w:vAlign w:val="center"/>
          </w:tcPr>
          <w:p>
            <w:pPr>
              <w:widowControl/>
              <w:jc w:val="left"/>
              <w:rPr>
                <w:rFonts w:ascii="Arial" w:hAnsi="Arial" w:cs="Arial"/>
              </w:rPr>
            </w:pPr>
            <w:r>
              <w:rPr>
                <w:rFonts w:hint="eastAsia" w:ascii="Arial" w:hAnsi="Arial" w:cs="Arial"/>
              </w:rPr>
              <w:t>根据供应商提供的同类项目客户数量：1个得1分，最高5分。</w:t>
            </w:r>
          </w:p>
          <w:p>
            <w:pPr>
              <w:widowControl/>
              <w:jc w:val="left"/>
              <w:rPr>
                <w:rFonts w:ascii="Arial" w:hAnsi="Arial" w:cs="Arial"/>
              </w:rPr>
            </w:pPr>
            <w:r>
              <w:rPr>
                <w:rFonts w:hint="eastAsia" w:ascii="Arial" w:hAnsi="Arial" w:cs="Arial"/>
              </w:rPr>
              <w:t>注：需提供合同首页、关键页、日期页等复印件，未提供证明材料的为无效业绩。</w:t>
            </w:r>
          </w:p>
        </w:tc>
        <w:tc>
          <w:tcPr>
            <w:tcW w:w="791" w:type="dxa"/>
            <w:vAlign w:val="center"/>
          </w:tcPr>
          <w:p>
            <w:pPr>
              <w:jc w:val="center"/>
              <w:rPr>
                <w:rFonts w:ascii="Arial" w:hAnsi="Arial" w:cs="Arial"/>
              </w:rPr>
            </w:pPr>
            <w:r>
              <w:rPr>
                <w:rFonts w:hint="eastAsia" w:ascii="Arial" w:hAnsi="Arial" w:cs="Aria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534" w:type="dxa"/>
            <w:vMerge w:val="restart"/>
            <w:vAlign w:val="center"/>
          </w:tcPr>
          <w:p>
            <w:pPr>
              <w:jc w:val="center"/>
              <w:rPr>
                <w:rFonts w:ascii="Arial" w:hAnsi="Arial" w:cs="Arial"/>
              </w:rPr>
            </w:pPr>
            <w:r>
              <w:rPr>
                <w:rFonts w:hint="eastAsia" w:ascii="Arial" w:hAnsi="Arial" w:cs="Arial"/>
              </w:rPr>
              <w:t xml:space="preserve"> 3</w:t>
            </w:r>
          </w:p>
        </w:tc>
        <w:tc>
          <w:tcPr>
            <w:tcW w:w="1052" w:type="dxa"/>
            <w:vMerge w:val="restart"/>
            <w:vAlign w:val="center"/>
          </w:tcPr>
          <w:p>
            <w:pPr>
              <w:jc w:val="center"/>
              <w:rPr>
                <w:rFonts w:ascii="Arial" w:hAnsi="Arial" w:cs="Arial"/>
              </w:rPr>
            </w:pPr>
            <w:r>
              <w:rPr>
                <w:rFonts w:ascii="Arial" w:hAnsi="Arial" w:cs="Arial"/>
              </w:rPr>
              <w:t>技术</w:t>
            </w:r>
          </w:p>
          <w:p>
            <w:pPr>
              <w:jc w:val="center"/>
              <w:rPr>
                <w:rFonts w:ascii="Arial" w:hAnsi="Arial" w:cs="Arial"/>
              </w:rPr>
            </w:pPr>
            <w:r>
              <w:rPr>
                <w:rFonts w:ascii="Arial" w:hAnsi="Arial" w:cs="Arial"/>
              </w:rPr>
              <w:t>服务</w:t>
            </w:r>
          </w:p>
          <w:p>
            <w:pPr>
              <w:rPr>
                <w:rFonts w:ascii="Arial" w:hAnsi="Arial" w:cs="Arial"/>
              </w:rPr>
            </w:pPr>
            <w:r>
              <w:rPr>
                <w:rFonts w:ascii="Arial" w:hAnsi="Arial" w:cs="Arial"/>
              </w:rPr>
              <w:t>（</w:t>
            </w:r>
            <w:r>
              <w:rPr>
                <w:rFonts w:hint="eastAsia" w:ascii="Arial" w:hAnsi="Arial" w:cs="Arial"/>
              </w:rPr>
              <w:t>55分</w:t>
            </w:r>
            <w:r>
              <w:rPr>
                <w:rFonts w:ascii="Arial" w:hAnsi="Arial" w:cs="Arial"/>
              </w:rPr>
              <w:t>）</w:t>
            </w:r>
          </w:p>
        </w:tc>
        <w:tc>
          <w:tcPr>
            <w:tcW w:w="1275" w:type="dxa"/>
            <w:vAlign w:val="center"/>
          </w:tcPr>
          <w:p>
            <w:pPr>
              <w:jc w:val="center"/>
              <w:rPr>
                <w:rFonts w:ascii="Arial" w:hAnsi="Arial" w:cs="Arial"/>
              </w:rPr>
            </w:pPr>
            <w:r>
              <w:rPr>
                <w:rFonts w:hint="eastAsia" w:ascii="Arial" w:hAnsi="Arial" w:cs="Arial"/>
              </w:rPr>
              <w:t>人员配备情况</w:t>
            </w:r>
          </w:p>
        </w:tc>
        <w:tc>
          <w:tcPr>
            <w:tcW w:w="5812" w:type="dxa"/>
            <w:vAlign w:val="center"/>
          </w:tcPr>
          <w:p>
            <w:pPr>
              <w:jc w:val="left"/>
              <w:rPr>
                <w:rFonts w:ascii="Arial" w:hAnsi="Arial" w:cs="Arial"/>
              </w:rPr>
            </w:pPr>
            <w:r>
              <w:rPr>
                <w:rFonts w:hint="eastAsia" w:ascii="Arial" w:hAnsi="Arial" w:cs="Arial"/>
              </w:rPr>
              <w:t>拟配备人员服务团队人员数量充足、架构合理、能力完善、搭配合理，</w:t>
            </w:r>
            <w:r>
              <w:rPr>
                <w:rFonts w:asciiTheme="minorHAnsi" w:cstheme="minorHAnsi"/>
              </w:rPr>
              <w:t>并提供人员名单</w:t>
            </w:r>
            <w:r>
              <w:rPr>
                <w:rFonts w:hint="eastAsia" w:ascii="Arial" w:hAnsi="Arial" w:cs="Arial"/>
              </w:rPr>
              <w:t>得10分；</w:t>
            </w:r>
          </w:p>
          <w:p>
            <w:pPr>
              <w:jc w:val="left"/>
              <w:rPr>
                <w:rFonts w:ascii="Arial" w:hAnsi="Arial" w:cs="Arial"/>
              </w:rPr>
            </w:pPr>
            <w:r>
              <w:rPr>
                <w:rFonts w:hint="eastAsia" w:ascii="Arial" w:hAnsi="Arial" w:cs="Arial"/>
              </w:rPr>
              <w:t>拟配备人员服务团队人员数量较充足、架构合理、能力完善、搭配较合理，</w:t>
            </w:r>
            <w:r>
              <w:rPr>
                <w:rFonts w:asciiTheme="minorHAnsi" w:cstheme="minorHAnsi"/>
              </w:rPr>
              <w:t>并提供人员名单</w:t>
            </w:r>
            <w:r>
              <w:rPr>
                <w:rFonts w:hint="eastAsia" w:ascii="Arial" w:hAnsi="Arial" w:cs="Arial"/>
              </w:rPr>
              <w:t>得6分；</w:t>
            </w:r>
          </w:p>
          <w:p>
            <w:pPr>
              <w:jc w:val="left"/>
              <w:rPr>
                <w:rFonts w:ascii="Arial" w:hAnsi="Arial" w:cs="Arial"/>
              </w:rPr>
            </w:pPr>
            <w:r>
              <w:rPr>
                <w:rFonts w:hint="eastAsia" w:ascii="Arial" w:hAnsi="Arial" w:cs="Arial"/>
              </w:rPr>
              <w:t>拟配备人员服务团队人员数量不太充足、架构合理差、能力不足、搭配不合理，</w:t>
            </w:r>
            <w:r>
              <w:rPr>
                <w:rFonts w:asciiTheme="minorHAnsi" w:cstheme="minorHAnsi"/>
              </w:rPr>
              <w:t>并提供人员名单</w:t>
            </w:r>
            <w:r>
              <w:rPr>
                <w:rFonts w:hint="eastAsia" w:ascii="Arial" w:hAnsi="Arial" w:cs="Arial"/>
              </w:rPr>
              <w:t>得3分；</w:t>
            </w:r>
          </w:p>
          <w:p>
            <w:pPr>
              <w:jc w:val="left"/>
              <w:rPr>
                <w:rFonts w:ascii="Arial" w:hAnsi="Arial" w:cs="Arial"/>
              </w:rPr>
            </w:pPr>
            <w:r>
              <w:rPr>
                <w:rFonts w:hint="eastAsia" w:asciiTheme="minorHAnsi" w:cstheme="minorHAnsi"/>
              </w:rPr>
              <w:t>未</w:t>
            </w:r>
            <w:r>
              <w:rPr>
                <w:rFonts w:asciiTheme="minorHAnsi" w:cstheme="minorHAnsi"/>
              </w:rPr>
              <w:t>提供人员名单</w:t>
            </w:r>
            <w:r>
              <w:rPr>
                <w:rFonts w:hint="eastAsia" w:ascii="Arial" w:hAnsi="Arial" w:cs="Arial"/>
              </w:rPr>
              <w:t>得0分。</w:t>
            </w:r>
          </w:p>
          <w:p>
            <w:pPr>
              <w:jc w:val="left"/>
              <w:rPr>
                <w:rFonts w:ascii="Arial" w:hAnsi="Arial" w:cs="Arial"/>
              </w:rPr>
            </w:pPr>
          </w:p>
          <w:p>
            <w:pPr>
              <w:jc w:val="left"/>
              <w:rPr>
                <w:rFonts w:ascii="Arial" w:hAnsi="Arial" w:cs="Arial"/>
              </w:rPr>
            </w:pPr>
            <w:r>
              <w:rPr>
                <w:rFonts w:hint="eastAsia" w:ascii="Arial" w:hAnsi="Arial" w:cs="Arial"/>
              </w:rPr>
              <w:t>拟配备人员均需具备无犯罪记录证明、健康证明、个人身份证明等资料，所有人员证明齐全得7分，少一项扣1分，扣完为止。</w:t>
            </w:r>
          </w:p>
        </w:tc>
        <w:tc>
          <w:tcPr>
            <w:tcW w:w="791" w:type="dxa"/>
            <w:vAlign w:val="center"/>
          </w:tcPr>
          <w:p>
            <w:pPr>
              <w:jc w:val="center"/>
              <w:rPr>
                <w:rFonts w:ascii="Arial" w:hAnsi="Arial" w:cs="Arial"/>
              </w:rPr>
            </w:pPr>
            <w:r>
              <w:rPr>
                <w:rFonts w:hint="eastAsia" w:ascii="Arial" w:hAnsi="Arial" w:cs="Aria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534" w:type="dxa"/>
            <w:vMerge w:val="continue"/>
            <w:vAlign w:val="center"/>
          </w:tcPr>
          <w:p>
            <w:pPr>
              <w:jc w:val="center"/>
              <w:rPr>
                <w:rFonts w:ascii="Arial" w:hAnsi="Arial" w:cs="Arial"/>
              </w:rPr>
            </w:pPr>
          </w:p>
        </w:tc>
        <w:tc>
          <w:tcPr>
            <w:tcW w:w="1052" w:type="dxa"/>
            <w:vMerge w:val="continue"/>
            <w:vAlign w:val="center"/>
          </w:tcPr>
          <w:p>
            <w:pPr>
              <w:rPr>
                <w:rFonts w:ascii="Arial" w:hAnsi="Arial" w:cs="Arial"/>
              </w:rPr>
            </w:pPr>
          </w:p>
        </w:tc>
        <w:tc>
          <w:tcPr>
            <w:tcW w:w="1275" w:type="dxa"/>
            <w:shd w:val="clear" w:color="auto" w:fill="auto"/>
            <w:vAlign w:val="center"/>
          </w:tcPr>
          <w:p>
            <w:pPr>
              <w:jc w:val="center"/>
              <w:rPr>
                <w:rFonts w:ascii="Arial" w:hAnsi="Arial" w:cs="Arial"/>
                <w:szCs w:val="30"/>
              </w:rPr>
            </w:pPr>
            <w:r>
              <w:rPr>
                <w:rFonts w:hint="eastAsia" w:ascii="Arial" w:hAnsi="Arial" w:cs="Arial"/>
                <w:szCs w:val="30"/>
              </w:rPr>
              <w:t>运输服务方案</w:t>
            </w:r>
          </w:p>
        </w:tc>
        <w:tc>
          <w:tcPr>
            <w:tcW w:w="5812" w:type="dxa"/>
            <w:shd w:val="clear" w:color="auto" w:fill="auto"/>
            <w:vAlign w:val="center"/>
          </w:tcPr>
          <w:p>
            <w:pPr>
              <w:spacing w:line="276" w:lineRule="auto"/>
              <w:rPr>
                <w:rFonts w:ascii="Arial" w:hAnsi="Arial" w:cs="Arial"/>
              </w:rPr>
            </w:pPr>
            <w:r>
              <w:rPr>
                <w:rFonts w:hint="eastAsia" w:ascii="Arial" w:hAnsi="Arial" w:cs="Arial"/>
              </w:rPr>
              <w:t>服务方案中至少包含安全运输方案、时间进度计划方案、政治思想表现方案、应急处理方案、原则响应方案等要求（包含但不限于提供相关的承诺书文件）。</w:t>
            </w:r>
          </w:p>
          <w:p>
            <w:pPr>
              <w:spacing w:line="276" w:lineRule="auto"/>
              <w:contextualSpacing/>
              <w:rPr>
                <w:rFonts w:ascii="Arial" w:hAnsi="Arial" w:cs="Arial"/>
              </w:rPr>
            </w:pPr>
            <w:r>
              <w:rPr>
                <w:rFonts w:hint="eastAsia" w:ascii="Arial" w:hAnsi="Arial" w:cs="Arial"/>
              </w:rPr>
              <w:t>其中1.安全运输方案内容全面详细、完全能满足项目需求得3分；内容较为详细、基本满足项目需求得2分；方案内容不详细无法满足项目需求得1分；未提供相关内容得0分。</w:t>
            </w:r>
          </w:p>
          <w:p>
            <w:pPr>
              <w:spacing w:line="276" w:lineRule="auto"/>
              <w:contextualSpacing/>
              <w:rPr>
                <w:rFonts w:ascii="Arial" w:hAnsi="Arial" w:cs="Arial"/>
              </w:rPr>
            </w:pPr>
            <w:r>
              <w:rPr>
                <w:rFonts w:hint="eastAsia" w:ascii="Arial" w:hAnsi="Arial" w:cs="Arial"/>
              </w:rPr>
              <w:t>2.时间进度计划方案内容详细、对工作周期安排合理、阶段划分清晰得3分；内容较详细、对工作周期安排基本可行，阶段划分较清晰得2分；内容缺漏、对工作周期安排不可行，阶段划分不清晰，得1分；未提供相关内容得0分。</w:t>
            </w:r>
          </w:p>
          <w:p>
            <w:pPr>
              <w:spacing w:line="276" w:lineRule="auto"/>
              <w:contextualSpacing/>
              <w:rPr>
                <w:rFonts w:ascii="Arial" w:hAnsi="Arial" w:cs="Arial"/>
              </w:rPr>
            </w:pPr>
            <w:r>
              <w:rPr>
                <w:rFonts w:hint="eastAsia" w:ascii="Arial" w:hAnsi="Arial" w:cs="Arial"/>
              </w:rPr>
              <w:t>3.人员政治思想符合需求、有较强的行为规范意识、执行能力强得3分；基本满足需求、有基本的行为规范意识、有一定的执行能力得2分；与需求有较大差距、行为规范意识差，执行能力弱，需求得1分；未提供相关内容得0分。</w:t>
            </w:r>
          </w:p>
          <w:p>
            <w:pPr>
              <w:spacing w:line="276" w:lineRule="auto"/>
              <w:contextualSpacing/>
              <w:rPr>
                <w:rFonts w:ascii="Arial" w:hAnsi="Arial" w:cs="Arial"/>
              </w:rPr>
            </w:pPr>
            <w:r>
              <w:rPr>
                <w:rFonts w:hint="eastAsia" w:ascii="Arial" w:hAnsi="Arial" w:cs="Arial"/>
              </w:rPr>
              <w:t>4.应急处理方案内容全面详细、合理可行、应对措施明确有效、操作处理得当得3分；内容较为全面、基本可行、有基本应对措施、操作处理较为得当得2分；方案内容不全、缺乏可行性、缺少基本应对措施、操作处理较不当得1分；未提供相关内容得0分。</w:t>
            </w:r>
          </w:p>
          <w:p>
            <w:pPr>
              <w:spacing w:line="276" w:lineRule="auto"/>
              <w:contextualSpacing/>
              <w:rPr>
                <w:rFonts w:cs="仿宋" w:hAnsiTheme="minorEastAsia"/>
                <w:kern w:val="0"/>
                <w:szCs w:val="24"/>
              </w:rPr>
            </w:pPr>
            <w:r>
              <w:rPr>
                <w:rFonts w:hint="eastAsia" w:ascii="Arial" w:hAnsi="Arial" w:cs="Arial"/>
              </w:rPr>
              <w:t>5.原则响应方案内容明确合理、高效，能极大程度保障服务质量的得3分；内容基本全面、基本可行，能保障常规服务质量的，得2分；内容基本不太明确，缺乏可行性，得1分；未提供相关内容得0分。</w:t>
            </w:r>
          </w:p>
        </w:tc>
        <w:tc>
          <w:tcPr>
            <w:tcW w:w="791" w:type="dxa"/>
            <w:shd w:val="clear" w:color="auto" w:fill="auto"/>
            <w:vAlign w:val="center"/>
          </w:tcPr>
          <w:p>
            <w:pPr>
              <w:jc w:val="center"/>
              <w:rPr>
                <w:rFonts w:ascii="Arial" w:hAnsi="Arial" w:cs="Arial"/>
              </w:rPr>
            </w:pPr>
            <w:r>
              <w:rPr>
                <w:rFonts w:hint="eastAsia" w:ascii="Arial" w:hAnsi="Arial" w:cs="Aria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534" w:type="dxa"/>
            <w:vMerge w:val="continue"/>
            <w:vAlign w:val="center"/>
          </w:tcPr>
          <w:p>
            <w:pPr>
              <w:jc w:val="center"/>
              <w:rPr>
                <w:rFonts w:ascii="Arial" w:hAnsi="Arial" w:cs="Arial"/>
              </w:rPr>
            </w:pPr>
          </w:p>
        </w:tc>
        <w:tc>
          <w:tcPr>
            <w:tcW w:w="1052" w:type="dxa"/>
            <w:vMerge w:val="continue"/>
            <w:vAlign w:val="center"/>
          </w:tcPr>
          <w:p>
            <w:pPr>
              <w:rPr>
                <w:rFonts w:ascii="Arial" w:hAnsi="Arial" w:cs="Arial"/>
              </w:rPr>
            </w:pPr>
          </w:p>
        </w:tc>
        <w:tc>
          <w:tcPr>
            <w:tcW w:w="1275" w:type="dxa"/>
            <w:vAlign w:val="center"/>
          </w:tcPr>
          <w:p>
            <w:pPr>
              <w:jc w:val="center"/>
              <w:rPr>
                <w:rFonts w:ascii="Arial" w:hAnsi="Arial" w:cs="Arial"/>
                <w:color w:val="000000" w:themeColor="text1"/>
                <w:kern w:val="0"/>
                <w14:textFill>
                  <w14:solidFill>
                    <w14:schemeClr w14:val="tx1"/>
                  </w14:solidFill>
                </w14:textFill>
              </w:rPr>
            </w:pPr>
            <w:r>
              <w:rPr>
                <w:rFonts w:hint="eastAsia" w:ascii="Arial" w:hAnsi="Arial" w:cs="Arial"/>
                <w:szCs w:val="30"/>
              </w:rPr>
              <w:t>信息系统及档案管理</w:t>
            </w:r>
          </w:p>
        </w:tc>
        <w:tc>
          <w:tcPr>
            <w:tcW w:w="5812" w:type="dxa"/>
            <w:vAlign w:val="center"/>
          </w:tcPr>
          <w:p>
            <w:pPr>
              <w:spacing w:line="276" w:lineRule="auto"/>
              <w:rPr>
                <w:rFonts w:ascii="Arial" w:hAnsi="Arial" w:cs="Arial"/>
              </w:rPr>
            </w:pPr>
            <w:r>
              <w:rPr>
                <w:rFonts w:ascii="Arial" w:hAnsi="Arial" w:cs="Arial"/>
              </w:rPr>
              <w:t>供应商具有完备的信息系统</w:t>
            </w:r>
            <w:r>
              <w:rPr>
                <w:rFonts w:hint="eastAsia" w:ascii="Arial" w:hAnsi="Arial" w:cs="Arial"/>
              </w:rPr>
              <w:t>及档案管理能力。</w:t>
            </w:r>
            <w:r>
              <w:rPr>
                <w:rFonts w:ascii="Arial" w:hAnsi="Arial" w:cs="Arial"/>
              </w:rPr>
              <w:t>具有良好的</w:t>
            </w:r>
            <w:r>
              <w:rPr>
                <w:rFonts w:hint="eastAsia" w:ascii="Arial" w:hAnsi="Arial" w:cs="Arial"/>
              </w:rPr>
              <w:t>货物的</w:t>
            </w:r>
            <w:r>
              <w:rPr>
                <w:rFonts w:ascii="Arial" w:hAnsi="Arial" w:cs="Arial"/>
              </w:rPr>
              <w:t>追踪、查询功能以及数据统计等功能，</w:t>
            </w:r>
            <w:r>
              <w:rPr>
                <w:rFonts w:hint="eastAsia" w:ascii="Arial" w:hAnsi="Arial" w:cs="Arial"/>
              </w:rPr>
              <w:t>定期向客户提供签收单、发票等票据，</w:t>
            </w:r>
            <w:r>
              <w:rPr>
                <w:rFonts w:ascii="Arial" w:hAnsi="Arial" w:cs="Arial"/>
              </w:rPr>
              <w:t>能够保障服务质量，得</w:t>
            </w:r>
            <w:r>
              <w:rPr>
                <w:rFonts w:hint="eastAsia" w:ascii="Arial" w:hAnsi="Arial" w:cs="Arial"/>
              </w:rPr>
              <w:t>8</w:t>
            </w:r>
            <w:r>
              <w:rPr>
                <w:rFonts w:ascii="Arial" w:hAnsi="Arial" w:cs="Arial"/>
              </w:rPr>
              <w:t>分；</w:t>
            </w:r>
          </w:p>
          <w:p>
            <w:pPr>
              <w:spacing w:line="276" w:lineRule="auto"/>
              <w:rPr>
                <w:rFonts w:ascii="Arial" w:hAnsi="Arial" w:cs="Arial"/>
              </w:rPr>
            </w:pPr>
            <w:r>
              <w:rPr>
                <w:rFonts w:ascii="Arial" w:hAnsi="Arial" w:cs="Arial"/>
              </w:rPr>
              <w:t>供应商具有比较完备的信息系统，货物的追踪、查询功能以及数据统计等功能比较完善，</w:t>
            </w:r>
            <w:r>
              <w:rPr>
                <w:rFonts w:hint="eastAsia" w:ascii="Arial" w:hAnsi="Arial" w:cs="Arial"/>
              </w:rPr>
              <w:t>定期向客户提供签收单、发票等票据，</w:t>
            </w:r>
            <w:r>
              <w:rPr>
                <w:rFonts w:ascii="Arial" w:hAnsi="Arial" w:cs="Arial"/>
              </w:rPr>
              <w:t>能够保障服务质量，得</w:t>
            </w:r>
            <w:r>
              <w:rPr>
                <w:rFonts w:hint="eastAsia" w:ascii="Arial" w:hAnsi="Arial" w:cs="Arial"/>
              </w:rPr>
              <w:t>5</w:t>
            </w:r>
            <w:r>
              <w:rPr>
                <w:rFonts w:ascii="Arial" w:hAnsi="Arial" w:cs="Arial"/>
              </w:rPr>
              <w:t>分；</w:t>
            </w:r>
          </w:p>
          <w:p>
            <w:pPr>
              <w:spacing w:line="276" w:lineRule="auto"/>
              <w:rPr>
                <w:rFonts w:ascii="Arial" w:hAnsi="Arial" w:cs="Arial"/>
              </w:rPr>
            </w:pPr>
            <w:r>
              <w:rPr>
                <w:rFonts w:ascii="Arial" w:hAnsi="Arial" w:cs="Arial"/>
              </w:rPr>
              <w:t>供应商具有信息系统，但货物的追踪、查询功能以及数据统计等功能有待完善，</w:t>
            </w:r>
            <w:r>
              <w:rPr>
                <w:rFonts w:hint="eastAsia" w:ascii="Arial" w:hAnsi="Arial" w:cs="Arial"/>
              </w:rPr>
              <w:t>定期能向客户提供签收单、发票等票据，</w:t>
            </w:r>
            <w:r>
              <w:rPr>
                <w:rFonts w:ascii="Arial" w:hAnsi="Arial" w:cs="Arial"/>
              </w:rPr>
              <w:t>得</w:t>
            </w:r>
            <w:r>
              <w:rPr>
                <w:rFonts w:hint="eastAsia" w:ascii="Arial" w:hAnsi="Arial" w:cs="Arial"/>
              </w:rPr>
              <w:t>3</w:t>
            </w:r>
            <w:r>
              <w:rPr>
                <w:rFonts w:ascii="Arial" w:hAnsi="Arial" w:cs="Arial"/>
              </w:rPr>
              <w:t>分；</w:t>
            </w:r>
          </w:p>
          <w:p>
            <w:pPr>
              <w:spacing w:line="276" w:lineRule="auto"/>
              <w:rPr>
                <w:rFonts w:ascii="Arial" w:hAnsi="Arial" w:cs="Arial"/>
              </w:rPr>
            </w:pPr>
            <w:r>
              <w:rPr>
                <w:rFonts w:ascii="Arial" w:hAnsi="Arial" w:cs="Arial"/>
              </w:rPr>
              <w:t>供应商不具备该能力或未提供相关内容的，得0分。</w:t>
            </w:r>
          </w:p>
          <w:p>
            <w:pPr>
              <w:rPr>
                <w:rFonts w:ascii="Arial" w:hAnsi="Arial" w:cs="Arial"/>
              </w:rPr>
            </w:pPr>
            <w:r>
              <w:rPr>
                <w:rFonts w:ascii="Arial" w:hAnsi="Arial" w:cs="Arial"/>
              </w:rPr>
              <w:t>注：需提供相关信息系统介绍及截图（得分可并列）。</w:t>
            </w:r>
          </w:p>
        </w:tc>
        <w:tc>
          <w:tcPr>
            <w:tcW w:w="791" w:type="dxa"/>
            <w:vAlign w:val="center"/>
          </w:tcPr>
          <w:p>
            <w:pPr>
              <w:jc w:val="center"/>
              <w:rPr>
                <w:rFonts w:ascii="Arial" w:hAnsi="Arial" w:cs="Arial"/>
              </w:rPr>
            </w:pPr>
            <w:r>
              <w:rPr>
                <w:rFonts w:hint="eastAsia" w:ascii="Arial" w:hAnsi="Arial" w:cs="Aria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534" w:type="dxa"/>
            <w:vMerge w:val="continue"/>
            <w:vAlign w:val="center"/>
          </w:tcPr>
          <w:p>
            <w:pPr>
              <w:jc w:val="center"/>
              <w:rPr>
                <w:rFonts w:ascii="Arial" w:hAnsi="Arial" w:cs="Arial"/>
              </w:rPr>
            </w:pPr>
          </w:p>
        </w:tc>
        <w:tc>
          <w:tcPr>
            <w:tcW w:w="1052" w:type="dxa"/>
            <w:vMerge w:val="continue"/>
            <w:vAlign w:val="center"/>
          </w:tcPr>
          <w:p>
            <w:pPr>
              <w:rPr>
                <w:rFonts w:ascii="Arial" w:hAnsi="Arial" w:cs="Arial"/>
              </w:rPr>
            </w:pPr>
          </w:p>
        </w:tc>
        <w:tc>
          <w:tcPr>
            <w:tcW w:w="1275" w:type="dxa"/>
            <w:vAlign w:val="center"/>
          </w:tcPr>
          <w:p>
            <w:pPr>
              <w:jc w:val="center"/>
              <w:rPr>
                <w:rFonts w:ascii="Arial" w:hAnsi="Arial" w:cs="Arial"/>
                <w:color w:val="000000" w:themeColor="text1"/>
                <w:kern w:val="0"/>
                <w14:textFill>
                  <w14:solidFill>
                    <w14:schemeClr w14:val="tx1"/>
                  </w14:solidFill>
                </w14:textFill>
              </w:rPr>
            </w:pPr>
            <w:r>
              <w:rPr>
                <w:rFonts w:ascii="Arial" w:hAnsi="Arial" w:cs="Arial"/>
                <w:bCs/>
                <w:kern w:val="44"/>
              </w:rPr>
              <w:t>售后服务方案</w:t>
            </w:r>
          </w:p>
        </w:tc>
        <w:tc>
          <w:tcPr>
            <w:tcW w:w="5812" w:type="dxa"/>
            <w:vAlign w:val="center"/>
          </w:tcPr>
          <w:p>
            <w:pPr>
              <w:spacing w:line="276" w:lineRule="auto"/>
              <w:rPr>
                <w:rFonts w:ascii="Arial" w:hAnsi="Arial" w:cs="Arial"/>
              </w:rPr>
            </w:pPr>
            <w:r>
              <w:rPr>
                <w:rFonts w:ascii="Arial" w:hAnsi="Arial" w:cs="Arial"/>
              </w:rPr>
              <w:t>供应商</w:t>
            </w:r>
            <w:r>
              <w:rPr>
                <w:rFonts w:hint="eastAsia" w:ascii="Arial" w:hAnsi="Arial" w:cs="Arial"/>
              </w:rPr>
              <w:t>具备完善的售后服务体系，</w:t>
            </w:r>
            <w:r>
              <w:rPr>
                <w:rFonts w:ascii="Arial" w:hAnsi="Arial" w:cs="Arial"/>
              </w:rPr>
              <w:t>提供的售后服务方案合理可行，针对运输错误、缺失，货物损坏等能够及时响应和解决相关问题，保证服务质量，得</w:t>
            </w:r>
            <w:r>
              <w:rPr>
                <w:rFonts w:hint="eastAsia" w:ascii="Arial" w:hAnsi="Arial" w:cs="Arial"/>
              </w:rPr>
              <w:t>10</w:t>
            </w:r>
            <w:r>
              <w:rPr>
                <w:rFonts w:ascii="Arial" w:hAnsi="Arial" w:cs="Arial"/>
              </w:rPr>
              <w:t>分；</w:t>
            </w:r>
          </w:p>
          <w:p>
            <w:pPr>
              <w:spacing w:line="276" w:lineRule="auto"/>
              <w:rPr>
                <w:rFonts w:ascii="Arial" w:hAnsi="Arial" w:cs="Arial"/>
              </w:rPr>
            </w:pPr>
            <w:r>
              <w:rPr>
                <w:rFonts w:ascii="Arial" w:hAnsi="Arial" w:cs="Arial"/>
              </w:rPr>
              <w:t>售后服务方案比较合理可行，基本能够及时响应和解决相关问题，基本能够保证服务质量，得</w:t>
            </w:r>
            <w:r>
              <w:rPr>
                <w:rFonts w:hint="eastAsia" w:ascii="Arial" w:hAnsi="Arial" w:cs="Arial"/>
              </w:rPr>
              <w:t>6</w:t>
            </w:r>
            <w:r>
              <w:rPr>
                <w:rFonts w:ascii="Arial" w:hAnsi="Arial" w:cs="Arial"/>
              </w:rPr>
              <w:t>分；</w:t>
            </w:r>
          </w:p>
          <w:p>
            <w:pPr>
              <w:spacing w:line="276" w:lineRule="auto"/>
              <w:rPr>
                <w:rFonts w:ascii="Arial" w:hAnsi="Arial" w:cs="Arial"/>
              </w:rPr>
            </w:pPr>
            <w:r>
              <w:rPr>
                <w:rFonts w:ascii="Arial" w:hAnsi="Arial" w:cs="Arial"/>
              </w:rPr>
              <w:t>售后服务方案</w:t>
            </w:r>
            <w:r>
              <w:rPr>
                <w:rFonts w:hint="eastAsia" w:ascii="Arial" w:hAnsi="Arial" w:cs="Arial"/>
              </w:rPr>
              <w:t>不太</w:t>
            </w:r>
            <w:r>
              <w:rPr>
                <w:rFonts w:ascii="Arial" w:hAnsi="Arial" w:cs="Arial"/>
              </w:rPr>
              <w:t>合理可行，</w:t>
            </w:r>
            <w:r>
              <w:rPr>
                <w:rFonts w:hint="eastAsia" w:ascii="Arial" w:hAnsi="Arial" w:cs="Arial"/>
              </w:rPr>
              <w:t>不太</w:t>
            </w:r>
            <w:r>
              <w:rPr>
                <w:rFonts w:ascii="Arial" w:hAnsi="Arial" w:cs="Arial"/>
              </w:rPr>
              <w:t>能够及时响应和解决相关问题，</w:t>
            </w:r>
            <w:r>
              <w:rPr>
                <w:rFonts w:hint="eastAsia" w:ascii="Arial" w:hAnsi="Arial" w:cs="Arial"/>
              </w:rPr>
              <w:t>不太</w:t>
            </w:r>
            <w:r>
              <w:rPr>
                <w:rFonts w:ascii="Arial" w:hAnsi="Arial" w:cs="Arial"/>
              </w:rPr>
              <w:t>能够保证服务质量，得</w:t>
            </w:r>
            <w:r>
              <w:rPr>
                <w:rFonts w:hint="eastAsia" w:ascii="Arial" w:hAnsi="Arial" w:cs="Arial"/>
              </w:rPr>
              <w:t>3</w:t>
            </w:r>
            <w:r>
              <w:rPr>
                <w:rFonts w:ascii="Arial" w:hAnsi="Arial" w:cs="Arial"/>
              </w:rPr>
              <w:t>分；</w:t>
            </w:r>
          </w:p>
          <w:p>
            <w:pPr>
              <w:spacing w:line="276" w:lineRule="auto"/>
              <w:rPr>
                <w:rFonts w:ascii="Arial" w:hAnsi="Arial" w:cs="Arial"/>
              </w:rPr>
            </w:pPr>
            <w:r>
              <w:rPr>
                <w:rFonts w:ascii="Arial" w:hAnsi="Arial" w:cs="Arial"/>
              </w:rPr>
              <w:t>售后服务方案较差或未提供相关内容的，得</w:t>
            </w:r>
            <w:r>
              <w:rPr>
                <w:rFonts w:hint="eastAsia" w:ascii="Arial" w:hAnsi="Arial" w:cs="Arial"/>
              </w:rPr>
              <w:t>0</w:t>
            </w:r>
            <w:r>
              <w:rPr>
                <w:rFonts w:ascii="Arial" w:hAnsi="Arial" w:cs="Arial"/>
              </w:rPr>
              <w:t>分。</w:t>
            </w:r>
          </w:p>
          <w:p>
            <w:pPr>
              <w:spacing w:line="276" w:lineRule="auto"/>
              <w:rPr>
                <w:rFonts w:ascii="Arial" w:hAnsi="Arial" w:cs="Arial"/>
              </w:rPr>
            </w:pPr>
            <w:r>
              <w:rPr>
                <w:rFonts w:ascii="Arial" w:hAnsi="Arial" w:cs="Arial"/>
              </w:rPr>
              <w:t>（得分可并列）</w:t>
            </w:r>
          </w:p>
        </w:tc>
        <w:tc>
          <w:tcPr>
            <w:tcW w:w="791" w:type="dxa"/>
            <w:vAlign w:val="center"/>
          </w:tcPr>
          <w:p>
            <w:pPr>
              <w:jc w:val="center"/>
              <w:rPr>
                <w:rFonts w:ascii="Arial" w:hAnsi="Arial" w:cs="Arial"/>
              </w:rPr>
            </w:pPr>
            <w:r>
              <w:rPr>
                <w:rFonts w:hint="eastAsia" w:ascii="Arial" w:hAnsi="Arial" w:cs="Aria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534" w:type="dxa"/>
            <w:vMerge w:val="continue"/>
            <w:vAlign w:val="center"/>
          </w:tcPr>
          <w:p>
            <w:pPr>
              <w:rPr>
                <w:rFonts w:ascii="Arial" w:hAnsi="Arial" w:cs="Arial"/>
              </w:rPr>
            </w:pPr>
          </w:p>
        </w:tc>
        <w:tc>
          <w:tcPr>
            <w:tcW w:w="1052" w:type="dxa"/>
            <w:vMerge w:val="continue"/>
            <w:vAlign w:val="center"/>
          </w:tcPr>
          <w:p>
            <w:pPr>
              <w:rPr>
                <w:rFonts w:ascii="Arial" w:hAnsi="Arial" w:cs="Arial"/>
              </w:rPr>
            </w:pPr>
          </w:p>
        </w:tc>
        <w:tc>
          <w:tcPr>
            <w:tcW w:w="1275" w:type="dxa"/>
            <w:vAlign w:val="center"/>
          </w:tcPr>
          <w:p>
            <w:pPr>
              <w:jc w:val="center"/>
              <w:rPr>
                <w:rFonts w:ascii="Arial" w:hAnsi="Arial" w:cs="Arial"/>
                <w:color w:val="000000" w:themeColor="text1"/>
                <w:kern w:val="0"/>
                <w14:textFill>
                  <w14:solidFill>
                    <w14:schemeClr w14:val="tx1"/>
                  </w14:solidFill>
                </w14:textFill>
              </w:rPr>
            </w:pPr>
            <w:r>
              <w:rPr>
                <w:rFonts w:hint="eastAsia" w:ascii="Arial" w:hAnsi="Arial" w:cs="Arial"/>
              </w:rPr>
              <w:t>其他增值服务承诺</w:t>
            </w:r>
          </w:p>
        </w:tc>
        <w:tc>
          <w:tcPr>
            <w:tcW w:w="5812" w:type="dxa"/>
            <w:vAlign w:val="center"/>
          </w:tcPr>
          <w:p>
            <w:pPr>
              <w:spacing w:line="276" w:lineRule="auto"/>
              <w:rPr>
                <w:rFonts w:ascii="Arial" w:hAnsi="Arial" w:cs="Arial"/>
              </w:rPr>
            </w:pPr>
            <w:r>
              <w:rPr>
                <w:rFonts w:hint="eastAsia" w:ascii="Arial" w:hAnsi="Arial" w:cs="Arial"/>
              </w:rPr>
              <w:t>结合项目内容，能否提供技术服务需求书以外的其他增值性服务。横向比较，</w:t>
            </w:r>
            <w:r>
              <w:rPr>
                <w:rFonts w:ascii="Arial" w:hAnsi="Arial" w:cs="Arial"/>
              </w:rPr>
              <w:t>优得</w:t>
            </w:r>
            <w:r>
              <w:rPr>
                <w:rFonts w:hint="eastAsia" w:ascii="Arial" w:hAnsi="Arial" w:cs="Arial"/>
              </w:rPr>
              <w:t>5</w:t>
            </w:r>
            <w:r>
              <w:rPr>
                <w:rFonts w:ascii="Arial" w:hAnsi="Arial" w:cs="Arial"/>
              </w:rPr>
              <w:t>分，良得</w:t>
            </w:r>
            <w:r>
              <w:rPr>
                <w:rFonts w:hint="eastAsia" w:ascii="Arial" w:hAnsi="Arial" w:cs="Arial"/>
              </w:rPr>
              <w:t>3</w:t>
            </w:r>
            <w:r>
              <w:rPr>
                <w:rFonts w:ascii="Arial" w:hAnsi="Arial" w:cs="Arial"/>
              </w:rPr>
              <w:t>分，差得</w:t>
            </w:r>
            <w:r>
              <w:rPr>
                <w:rFonts w:hint="eastAsia" w:ascii="Arial" w:hAnsi="Arial" w:cs="Arial"/>
              </w:rPr>
              <w:t>1</w:t>
            </w:r>
            <w:r>
              <w:rPr>
                <w:rFonts w:ascii="Arial" w:hAnsi="Arial" w:cs="Arial"/>
              </w:rPr>
              <w:t>分</w:t>
            </w:r>
            <w:r>
              <w:rPr>
                <w:rFonts w:hint="eastAsia" w:ascii="Arial" w:hAnsi="Arial" w:cs="Arial"/>
              </w:rPr>
              <w:t>，未提供不得分。</w:t>
            </w:r>
          </w:p>
          <w:p>
            <w:pPr>
              <w:spacing w:line="276" w:lineRule="auto"/>
              <w:rPr>
                <w:rFonts w:ascii="Arial" w:hAnsi="Arial" w:cs="Arial"/>
              </w:rPr>
            </w:pPr>
            <w:r>
              <w:rPr>
                <w:rFonts w:ascii="Arial" w:hAnsi="Arial" w:cs="Arial"/>
              </w:rPr>
              <w:t>（得分可并列）</w:t>
            </w:r>
          </w:p>
        </w:tc>
        <w:tc>
          <w:tcPr>
            <w:tcW w:w="791" w:type="dxa"/>
            <w:vAlign w:val="center"/>
          </w:tcPr>
          <w:p>
            <w:pPr>
              <w:jc w:val="center"/>
              <w:rPr>
                <w:rFonts w:ascii="Arial" w:hAnsi="Arial" w:cs="Arial"/>
              </w:rPr>
            </w:pPr>
            <w:r>
              <w:rPr>
                <w:rFonts w:hint="eastAsia" w:ascii="Arial" w:hAnsi="Arial" w:cs="Arial"/>
              </w:rPr>
              <w:t>0-5</w:t>
            </w:r>
          </w:p>
        </w:tc>
      </w:tr>
    </w:tbl>
    <w:p>
      <w:bookmarkStart w:id="7" w:name="_Toc71560339"/>
    </w:p>
    <w:p/>
    <w:p/>
    <w:p/>
    <w:p/>
    <w:p/>
    <w:p/>
    <w:p/>
    <w:p/>
    <w:p/>
    <w:p/>
    <w:p/>
    <w:p/>
    <w:p/>
    <w:p/>
    <w:p>
      <w:pPr>
        <w:pStyle w:val="2"/>
      </w:pPr>
      <w:r>
        <w:rPr>
          <w:rFonts w:hint="eastAsia"/>
        </w:rPr>
        <w:t>第四章  技术服务需求</w:t>
      </w:r>
      <w:bookmarkEnd w:id="7"/>
    </w:p>
    <w:p>
      <w:pPr>
        <w:pStyle w:val="31"/>
        <w:numPr>
          <w:ilvl w:val="0"/>
          <w:numId w:val="0"/>
        </w:numPr>
        <w:ind w:left="425"/>
      </w:pPr>
      <w:bookmarkStart w:id="8" w:name="_Toc71560340"/>
      <w:r>
        <w:rPr>
          <w:rFonts w:hint="eastAsia"/>
        </w:rPr>
        <w:t>项目需求实质性内容表</w:t>
      </w:r>
      <w:bookmarkEnd w:id="8"/>
    </w:p>
    <w:p>
      <w:pPr>
        <w:pStyle w:val="46"/>
        <w:ind w:firstLine="480"/>
      </w:pPr>
      <w:r>
        <w:rPr>
          <w:rFonts w:hint="eastAsia"/>
        </w:rPr>
        <w:t>本表是对“第四章 技术服务需求”相关重要内容的具体说明，表格中的对应条款号是对应技术服务需求中的条款编号。</w:t>
      </w:r>
    </w:p>
    <w:p>
      <w:pPr>
        <w:pStyle w:val="46"/>
        <w:ind w:firstLine="482"/>
      </w:pPr>
      <w:r>
        <w:rPr>
          <w:rFonts w:ascii="Arial" w:hAnsi="Arial" w:cs="Arial"/>
          <w:b/>
        </w:rPr>
        <w:t>本表及第四章 技术服务需求书其他部分加注</w:t>
      </w:r>
      <w:r>
        <w:rPr>
          <w:rFonts w:hint="eastAsia" w:ascii="Arial" w:hAnsi="Arial" w:cs="Arial"/>
          <w:b/>
        </w:rPr>
        <w:t>星号</w:t>
      </w:r>
      <w:r>
        <w:rPr>
          <w:rFonts w:ascii="Arial" w:hAnsi="Arial" w:cs="Arial"/>
          <w:b/>
        </w:rPr>
        <w:t>“</w:t>
      </w:r>
      <w:r>
        <w:rPr>
          <w:rFonts w:hint="eastAsia" w:ascii="仿宋_GB2312" w:hAnsi="Arial" w:eastAsia="仿宋_GB2312" w:cs="Arial"/>
        </w:rPr>
        <w:t>★</w:t>
      </w:r>
      <w:r>
        <w:rPr>
          <w:rFonts w:ascii="Arial" w:hAnsi="Arial" w:cs="Arial"/>
          <w:b/>
        </w:rPr>
        <w:t>”的内容为实质性要求，必须在技术规格偏离表中逐条进行响应，若有不响应的，将导致</w:t>
      </w:r>
      <w:r>
        <w:rPr>
          <w:rFonts w:hint="eastAsia" w:ascii="Arial" w:hAnsi="Arial" w:cs="Arial"/>
          <w:b/>
        </w:rPr>
        <w:t>响应</w:t>
      </w:r>
      <w:r>
        <w:rPr>
          <w:rFonts w:ascii="Arial" w:hAnsi="Arial" w:cs="Arial"/>
          <w:b/>
        </w:rPr>
        <w:t>无效。</w:t>
      </w:r>
    </w:p>
    <w:tbl>
      <w:tblPr>
        <w:tblStyle w:val="27"/>
        <w:tblW w:w="94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220"/>
        <w:gridCol w:w="1533"/>
        <w:gridCol w:w="48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vAlign w:val="center"/>
          </w:tcPr>
          <w:p>
            <w:pPr>
              <w:spacing w:line="240" w:lineRule="auto"/>
            </w:pPr>
            <w:r>
              <w:t>序号</w:t>
            </w:r>
          </w:p>
        </w:tc>
        <w:tc>
          <w:tcPr>
            <w:tcW w:w="2220" w:type="dxa"/>
            <w:vAlign w:val="center"/>
          </w:tcPr>
          <w:p>
            <w:pPr>
              <w:spacing w:line="240" w:lineRule="auto"/>
            </w:pPr>
            <w:r>
              <w:t>内容</w:t>
            </w:r>
          </w:p>
        </w:tc>
        <w:tc>
          <w:tcPr>
            <w:tcW w:w="1533" w:type="dxa"/>
            <w:vAlign w:val="center"/>
          </w:tcPr>
          <w:p>
            <w:pPr>
              <w:spacing w:line="240" w:lineRule="auto"/>
            </w:pPr>
            <w:r>
              <w:t>对应条款号</w:t>
            </w:r>
          </w:p>
        </w:tc>
        <w:tc>
          <w:tcPr>
            <w:tcW w:w="4894" w:type="dxa"/>
            <w:vAlign w:val="center"/>
          </w:tcPr>
          <w:p>
            <w:pPr>
              <w:spacing w:line="240" w:lineRule="auto"/>
            </w:pPr>
            <w: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vAlign w:val="center"/>
          </w:tcPr>
          <w:p>
            <w:pPr>
              <w:spacing w:line="240" w:lineRule="auto"/>
              <w:jc w:val="center"/>
            </w:pPr>
            <w:r>
              <w:t>1</w:t>
            </w:r>
          </w:p>
        </w:tc>
        <w:tc>
          <w:tcPr>
            <w:tcW w:w="2220" w:type="dxa"/>
            <w:vAlign w:val="center"/>
          </w:tcPr>
          <w:p>
            <w:pPr>
              <w:autoSpaceDE w:val="0"/>
              <w:autoSpaceDN w:val="0"/>
              <w:spacing w:line="360" w:lineRule="auto"/>
              <w:jc w:val="center"/>
              <w:rPr>
                <w:rFonts w:ascii="Arial" w:hAnsi="Arial" w:cs="Arial"/>
                <w:kern w:val="0"/>
                <w:szCs w:val="24"/>
              </w:rPr>
            </w:pPr>
            <w:r>
              <w:rPr>
                <w:rFonts w:hint="eastAsia" w:ascii="Arial" w:hAnsi="Arial" w:eastAsia="楷体_GB2312" w:cs="Arial"/>
                <w:kern w:val="0"/>
              </w:rPr>
              <w:t>/</w:t>
            </w:r>
          </w:p>
        </w:tc>
        <w:tc>
          <w:tcPr>
            <w:tcW w:w="1533" w:type="dxa"/>
          </w:tcPr>
          <w:p>
            <w:pPr>
              <w:autoSpaceDE w:val="0"/>
              <w:autoSpaceDN w:val="0"/>
              <w:spacing w:line="360" w:lineRule="auto"/>
              <w:jc w:val="center"/>
              <w:rPr>
                <w:rFonts w:ascii="Arial" w:hAnsi="Arial" w:cs="Arial"/>
                <w:kern w:val="0"/>
                <w:szCs w:val="24"/>
              </w:rPr>
            </w:pPr>
            <w:r>
              <w:rPr>
                <w:rFonts w:hint="eastAsia" w:ascii="Arial" w:hAnsi="Arial" w:cs="Arial"/>
                <w:kern w:val="0"/>
                <w:szCs w:val="24"/>
              </w:rPr>
              <w:t>/</w:t>
            </w:r>
          </w:p>
        </w:tc>
        <w:tc>
          <w:tcPr>
            <w:tcW w:w="4894" w:type="dxa"/>
            <w:vAlign w:val="center"/>
          </w:tcPr>
          <w:p>
            <w:pPr>
              <w:autoSpaceDE w:val="0"/>
              <w:autoSpaceDN w:val="0"/>
              <w:spacing w:line="360" w:lineRule="auto"/>
              <w:jc w:val="center"/>
              <w:rPr>
                <w:rFonts w:ascii="Arial" w:hAnsi="Arial" w:cs="Arial"/>
                <w:kern w:val="0"/>
                <w:szCs w:val="24"/>
              </w:rPr>
            </w:pPr>
            <w:r>
              <w:rPr>
                <w:rFonts w:hint="eastAsia" w:ascii="Arial" w:hAnsi="Arial" w:eastAsia="楷体_GB2312" w:cs="Arial"/>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vAlign w:val="center"/>
          </w:tcPr>
          <w:p>
            <w:pPr>
              <w:spacing w:line="240" w:lineRule="auto"/>
              <w:jc w:val="center"/>
            </w:pPr>
            <w:r>
              <w:rPr>
                <w:rFonts w:hint="eastAsia"/>
              </w:rPr>
              <w:t>2</w:t>
            </w:r>
          </w:p>
        </w:tc>
        <w:tc>
          <w:tcPr>
            <w:tcW w:w="2220" w:type="dxa"/>
            <w:vAlign w:val="center"/>
          </w:tcPr>
          <w:p>
            <w:pPr>
              <w:autoSpaceDE w:val="0"/>
              <w:autoSpaceDN w:val="0"/>
              <w:spacing w:line="360" w:lineRule="auto"/>
              <w:jc w:val="center"/>
              <w:rPr>
                <w:rFonts w:ascii="Arial" w:hAnsi="Arial" w:cs="Arial"/>
                <w:kern w:val="0"/>
                <w:szCs w:val="24"/>
              </w:rPr>
            </w:pPr>
            <w:r>
              <w:rPr>
                <w:rFonts w:hint="eastAsia" w:ascii="Arial" w:hAnsi="Arial" w:eastAsia="楷体_GB2312" w:cs="Arial"/>
                <w:kern w:val="0"/>
              </w:rPr>
              <w:t>/</w:t>
            </w:r>
          </w:p>
        </w:tc>
        <w:tc>
          <w:tcPr>
            <w:tcW w:w="1533" w:type="dxa"/>
          </w:tcPr>
          <w:p>
            <w:pPr>
              <w:autoSpaceDE w:val="0"/>
              <w:autoSpaceDN w:val="0"/>
              <w:spacing w:line="360" w:lineRule="auto"/>
              <w:jc w:val="center"/>
              <w:rPr>
                <w:rFonts w:ascii="Arial" w:hAnsi="Arial" w:cs="Arial"/>
                <w:kern w:val="0"/>
                <w:szCs w:val="24"/>
              </w:rPr>
            </w:pPr>
            <w:r>
              <w:rPr>
                <w:rFonts w:hint="eastAsia" w:ascii="Arial" w:hAnsi="Arial" w:cs="Arial"/>
                <w:kern w:val="0"/>
                <w:szCs w:val="24"/>
              </w:rPr>
              <w:t>/</w:t>
            </w:r>
          </w:p>
        </w:tc>
        <w:tc>
          <w:tcPr>
            <w:tcW w:w="4894" w:type="dxa"/>
            <w:vAlign w:val="center"/>
          </w:tcPr>
          <w:p>
            <w:pPr>
              <w:autoSpaceDE w:val="0"/>
              <w:autoSpaceDN w:val="0"/>
              <w:spacing w:line="360" w:lineRule="auto"/>
              <w:jc w:val="center"/>
              <w:rPr>
                <w:rFonts w:ascii="Arial" w:hAnsi="Arial" w:cs="Arial"/>
                <w:kern w:val="0"/>
                <w:szCs w:val="24"/>
              </w:rPr>
            </w:pPr>
            <w:r>
              <w:rPr>
                <w:rFonts w:hint="eastAsia" w:ascii="Arial" w:hAnsi="Arial" w:eastAsia="楷体_GB2312" w:cs="Arial"/>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vAlign w:val="center"/>
          </w:tcPr>
          <w:p>
            <w:pPr>
              <w:spacing w:line="240" w:lineRule="auto"/>
            </w:pPr>
          </w:p>
        </w:tc>
        <w:tc>
          <w:tcPr>
            <w:tcW w:w="2220" w:type="dxa"/>
            <w:vAlign w:val="center"/>
          </w:tcPr>
          <w:p>
            <w:pPr>
              <w:spacing w:line="240" w:lineRule="auto"/>
            </w:pPr>
          </w:p>
        </w:tc>
        <w:tc>
          <w:tcPr>
            <w:tcW w:w="1533" w:type="dxa"/>
            <w:vAlign w:val="center"/>
          </w:tcPr>
          <w:p>
            <w:pPr>
              <w:spacing w:line="240" w:lineRule="auto"/>
            </w:pPr>
          </w:p>
        </w:tc>
        <w:tc>
          <w:tcPr>
            <w:tcW w:w="4894" w:type="dxa"/>
            <w:vAlign w:val="center"/>
          </w:tcPr>
          <w:p>
            <w:pPr>
              <w:spacing w:line="240" w:lineRule="auto"/>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6" w:type="dxa"/>
            <w:vAlign w:val="center"/>
          </w:tcPr>
          <w:p>
            <w:pPr>
              <w:spacing w:line="240" w:lineRule="auto"/>
            </w:pPr>
          </w:p>
        </w:tc>
        <w:tc>
          <w:tcPr>
            <w:tcW w:w="2220" w:type="dxa"/>
            <w:vAlign w:val="center"/>
          </w:tcPr>
          <w:p>
            <w:pPr>
              <w:spacing w:line="240" w:lineRule="auto"/>
            </w:pPr>
          </w:p>
        </w:tc>
        <w:tc>
          <w:tcPr>
            <w:tcW w:w="1533" w:type="dxa"/>
            <w:vAlign w:val="center"/>
          </w:tcPr>
          <w:p>
            <w:pPr>
              <w:spacing w:line="240" w:lineRule="auto"/>
            </w:pPr>
          </w:p>
        </w:tc>
        <w:tc>
          <w:tcPr>
            <w:tcW w:w="4894" w:type="dxa"/>
            <w:vAlign w:val="center"/>
          </w:tcPr>
          <w:p>
            <w:pPr>
              <w:spacing w:line="240" w:lineRule="auto"/>
            </w:pPr>
          </w:p>
        </w:tc>
      </w:tr>
    </w:tbl>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600"/>
        <w:jc w:val="center"/>
        <w:rPr>
          <w:sz w:val="30"/>
          <w:szCs w:val="30"/>
        </w:rPr>
      </w:pPr>
      <w:r>
        <w:rPr>
          <w:rFonts w:hint="eastAsia"/>
          <w:sz w:val="30"/>
          <w:szCs w:val="30"/>
        </w:rPr>
        <w:t>项目需求书</w:t>
      </w:r>
    </w:p>
    <w:p>
      <w:pPr>
        <w:adjustRightInd/>
        <w:snapToGrid/>
        <w:spacing w:line="360" w:lineRule="auto"/>
        <w:ind w:firstLine="482" w:firstLineChars="200"/>
        <w:rPr>
          <w:rFonts w:cs="仿宋" w:hAnsiTheme="minorEastAsia"/>
          <w:b/>
          <w:bCs/>
          <w:szCs w:val="24"/>
        </w:rPr>
      </w:pPr>
      <w:r>
        <w:rPr>
          <w:rFonts w:hint="eastAsia" w:cs="仿宋" w:hAnsiTheme="minorEastAsia"/>
          <w:b/>
          <w:bCs/>
          <w:szCs w:val="24"/>
        </w:rPr>
        <w:t>一、年订车量：</w:t>
      </w:r>
    </w:p>
    <w:p>
      <w:pPr>
        <w:adjustRightInd/>
        <w:snapToGrid/>
        <w:spacing w:line="360" w:lineRule="auto"/>
        <w:ind w:firstLine="480" w:firstLineChars="200"/>
        <w:rPr>
          <w:rFonts w:cs="仿宋" w:hAnsiTheme="minorEastAsia"/>
          <w:szCs w:val="24"/>
        </w:rPr>
      </w:pPr>
      <w:r>
        <w:rPr>
          <w:rFonts w:hint="eastAsia" w:cs="仿宋" w:hAnsiTheme="minorEastAsia"/>
          <w:szCs w:val="24"/>
        </w:rPr>
        <w:t>一年预计940车次左右。</w:t>
      </w:r>
    </w:p>
    <w:p>
      <w:pPr>
        <w:adjustRightInd/>
        <w:snapToGrid/>
        <w:spacing w:line="360" w:lineRule="auto"/>
        <w:ind w:firstLine="482" w:firstLineChars="200"/>
        <w:rPr>
          <w:rFonts w:cs="仿宋" w:hAnsiTheme="minorEastAsia"/>
          <w:b/>
          <w:bCs/>
          <w:szCs w:val="24"/>
        </w:rPr>
      </w:pPr>
      <w:r>
        <w:rPr>
          <w:rFonts w:hint="eastAsia" w:cs="仿宋" w:hAnsiTheme="minorEastAsia"/>
          <w:b/>
          <w:bCs/>
          <w:szCs w:val="24"/>
        </w:rPr>
        <w:t>二、运输常用路线：</w:t>
      </w:r>
    </w:p>
    <w:p>
      <w:pPr>
        <w:adjustRightInd/>
        <w:snapToGrid/>
        <w:spacing w:line="360" w:lineRule="auto"/>
        <w:rPr>
          <w:rFonts w:cs="仿宋" w:hAnsiTheme="minorEastAsia"/>
          <w:szCs w:val="24"/>
        </w:rPr>
      </w:pPr>
      <w:r>
        <w:rPr>
          <w:rFonts w:hint="eastAsia" w:cs="仿宋" w:hAnsiTheme="minorEastAsia"/>
          <w:szCs w:val="24"/>
        </w:rPr>
        <w:t xml:space="preserve">   （一）东城区东总部胡同28号至朝阳区首都国际机场</w:t>
      </w:r>
    </w:p>
    <w:p>
      <w:pPr>
        <w:adjustRightInd/>
        <w:snapToGrid/>
        <w:spacing w:line="360" w:lineRule="auto"/>
        <w:rPr>
          <w:rFonts w:cs="仿宋" w:hAnsiTheme="minorEastAsia"/>
          <w:szCs w:val="24"/>
        </w:rPr>
      </w:pPr>
      <w:r>
        <w:rPr>
          <w:rFonts w:hint="eastAsia" w:cs="仿宋" w:hAnsiTheme="minorEastAsia"/>
          <w:szCs w:val="24"/>
        </w:rPr>
        <w:t xml:space="preserve">   （二）东城区东总部胡同28号至朝阳区朝阳门南大街2号</w:t>
      </w:r>
    </w:p>
    <w:p>
      <w:pPr>
        <w:adjustRightInd/>
        <w:snapToGrid/>
        <w:spacing w:line="360" w:lineRule="auto"/>
        <w:rPr>
          <w:rFonts w:cs="仿宋" w:hAnsiTheme="minorEastAsia"/>
          <w:szCs w:val="24"/>
        </w:rPr>
      </w:pPr>
      <w:r>
        <w:rPr>
          <w:rFonts w:hint="eastAsia" w:cs="仿宋" w:hAnsiTheme="minorEastAsia"/>
          <w:szCs w:val="24"/>
        </w:rPr>
        <w:t xml:space="preserve">   （三）东城区东总部胡同28号至东城区干面胡同57号</w:t>
      </w:r>
    </w:p>
    <w:p>
      <w:pPr>
        <w:adjustRightInd/>
        <w:snapToGrid/>
        <w:spacing w:line="360" w:lineRule="auto"/>
        <w:rPr>
          <w:rFonts w:cs="仿宋" w:hAnsiTheme="minorEastAsia"/>
          <w:szCs w:val="24"/>
        </w:rPr>
      </w:pPr>
      <w:r>
        <w:rPr>
          <w:rFonts w:hint="eastAsia" w:cs="仿宋" w:hAnsiTheme="minorEastAsia"/>
          <w:szCs w:val="24"/>
        </w:rPr>
        <w:t xml:space="preserve">   （四）东城区东总部胡同28号至通州区张家湾镇西定福庄183号</w:t>
      </w:r>
    </w:p>
    <w:p>
      <w:pPr>
        <w:adjustRightInd/>
        <w:snapToGrid/>
        <w:spacing w:line="360" w:lineRule="auto"/>
        <w:rPr>
          <w:rFonts w:cs="仿宋" w:hAnsiTheme="minorEastAsia"/>
          <w:szCs w:val="24"/>
        </w:rPr>
      </w:pPr>
      <w:r>
        <w:rPr>
          <w:rFonts w:hint="eastAsia" w:cs="仿宋" w:hAnsiTheme="minorEastAsia"/>
          <w:szCs w:val="24"/>
        </w:rPr>
        <w:t xml:space="preserve">   （五）东城区东总部胡同28号至天津市武清开发区浩源道7号</w:t>
      </w:r>
    </w:p>
    <w:p>
      <w:pPr>
        <w:adjustRightInd/>
        <w:snapToGrid/>
        <w:spacing w:line="360" w:lineRule="auto"/>
        <w:ind w:firstLine="482" w:firstLineChars="200"/>
        <w:rPr>
          <w:rFonts w:cs="仿宋" w:hAnsiTheme="minorEastAsia"/>
          <w:b/>
          <w:bCs/>
          <w:szCs w:val="24"/>
        </w:rPr>
      </w:pPr>
      <w:r>
        <w:rPr>
          <w:rFonts w:hint="eastAsia" w:cs="仿宋" w:hAnsiTheme="minorEastAsia"/>
          <w:b/>
          <w:bCs/>
          <w:szCs w:val="24"/>
        </w:rPr>
        <w:t>三：定价原则：</w:t>
      </w:r>
    </w:p>
    <w:p>
      <w:pPr>
        <w:pStyle w:val="81"/>
        <w:numPr>
          <w:ilvl w:val="0"/>
          <w:numId w:val="9"/>
        </w:numPr>
        <w:adjustRightInd/>
        <w:snapToGrid/>
        <w:spacing w:line="360" w:lineRule="auto"/>
        <w:ind w:firstLineChars="0"/>
        <w:rPr>
          <w:rFonts w:cs="仿宋" w:hAnsiTheme="minorEastAsia"/>
          <w:bCs/>
          <w:szCs w:val="24"/>
        </w:rPr>
      </w:pPr>
      <w:r>
        <w:rPr>
          <w:rFonts w:hint="eastAsia" w:cs="仿宋" w:hAnsiTheme="minorEastAsia"/>
          <w:bCs/>
          <w:szCs w:val="24"/>
        </w:rPr>
        <w:t>运输定价：</w:t>
      </w:r>
    </w:p>
    <w:p>
      <w:pPr>
        <w:adjustRightInd/>
        <w:snapToGrid/>
        <w:spacing w:line="360" w:lineRule="auto"/>
        <w:ind w:firstLine="480" w:firstLineChars="200"/>
        <w:rPr>
          <w:rFonts w:cs="仿宋" w:hAnsiTheme="minorEastAsia"/>
          <w:szCs w:val="24"/>
        </w:rPr>
      </w:pPr>
      <w:r>
        <w:t>运输基本费</w:t>
      </w:r>
      <w:r>
        <w:rPr>
          <w:rFonts w:hint="eastAsia" w:cs="仿宋" w:hAnsiTheme="minorEastAsia"/>
          <w:szCs w:val="24"/>
        </w:rPr>
        <w:t>：按照每车次每公里的运输单价计费（元/km）。特殊需求的运输可采取一事一议方式协商解决；或由供应商提出报价原则，由集采中心选定，对比优惠条件，择优选择。</w:t>
      </w:r>
    </w:p>
    <w:p>
      <w:pPr>
        <w:pStyle w:val="81"/>
        <w:numPr>
          <w:ilvl w:val="0"/>
          <w:numId w:val="9"/>
        </w:numPr>
        <w:adjustRightInd/>
        <w:snapToGrid/>
        <w:spacing w:line="360" w:lineRule="auto"/>
        <w:ind w:firstLineChars="0"/>
        <w:rPr>
          <w:rFonts w:cs="仿宋" w:hAnsiTheme="minorEastAsia"/>
          <w:bCs/>
          <w:szCs w:val="24"/>
        </w:rPr>
      </w:pPr>
      <w:r>
        <w:rPr>
          <w:rFonts w:hint="eastAsia" w:cs="仿宋" w:hAnsiTheme="minorEastAsia"/>
          <w:bCs/>
          <w:szCs w:val="24"/>
        </w:rPr>
        <w:t>其他定价：</w:t>
      </w:r>
    </w:p>
    <w:p>
      <w:pPr>
        <w:adjustRightInd/>
        <w:snapToGrid/>
        <w:spacing w:line="360" w:lineRule="auto"/>
        <w:ind w:firstLine="480" w:firstLineChars="200"/>
        <w:rPr>
          <w:rFonts w:cs="仿宋" w:hAnsiTheme="minorEastAsia"/>
          <w:szCs w:val="24"/>
        </w:rPr>
      </w:pPr>
      <w:r>
        <w:rPr>
          <w:rFonts w:hint="eastAsia" w:cs="仿宋" w:hAnsiTheme="minorEastAsia"/>
          <w:szCs w:val="24"/>
        </w:rPr>
        <w:t>增加包装搬运人员人工费：关于大型（无法再进行二次拆分）重要设备运输，运输车辆配套的标配人员无法满足安装搬运要求的，需要增加包装搬运人员。增加包装搬运人员按每人每天费用（元/天）计算。</w:t>
      </w:r>
    </w:p>
    <w:p>
      <w:pPr>
        <w:adjustRightInd/>
        <w:snapToGrid/>
        <w:spacing w:line="360" w:lineRule="auto"/>
        <w:rPr>
          <w:rFonts w:cs="仿宋" w:hAnsiTheme="minorEastAsia"/>
          <w:bCs/>
          <w:szCs w:val="24"/>
        </w:rPr>
      </w:pPr>
      <w:r>
        <w:rPr>
          <w:rFonts w:hint="eastAsia" w:cs="仿宋" w:hAnsiTheme="minorEastAsia"/>
          <w:bCs/>
          <w:szCs w:val="24"/>
        </w:rPr>
        <w:t xml:space="preserve">   </w:t>
      </w:r>
      <w:r>
        <w:rPr>
          <w:rFonts w:hint="eastAsia" w:cs="仿宋" w:hAnsiTheme="minorEastAsia"/>
          <w:b/>
          <w:bCs/>
          <w:szCs w:val="24"/>
        </w:rPr>
        <w:t>四、运输车辆：</w:t>
      </w:r>
      <w:r>
        <w:rPr>
          <w:rFonts w:hint="eastAsia" w:cs="仿宋" w:hAnsiTheme="minorEastAsia"/>
          <w:szCs w:val="24"/>
        </w:rPr>
        <w:t>为4.2米厢式货车，车辆标识齐全，证件符合运输规定，车厢整洁，标配1名司机、2名包装搬运人员。</w:t>
      </w:r>
    </w:p>
    <w:p>
      <w:pPr>
        <w:adjustRightInd/>
        <w:snapToGrid/>
        <w:spacing w:line="360" w:lineRule="auto"/>
        <w:ind w:firstLine="482" w:firstLineChars="200"/>
        <w:rPr>
          <w:rFonts w:cs="仿宋" w:hAnsiTheme="minorEastAsia"/>
          <w:b/>
          <w:szCs w:val="24"/>
        </w:rPr>
      </w:pPr>
      <w:r>
        <w:rPr>
          <w:rFonts w:hint="eastAsia" w:cs="仿宋" w:hAnsiTheme="minorEastAsia"/>
          <w:b/>
          <w:bCs/>
          <w:szCs w:val="24"/>
        </w:rPr>
        <w:t>五、特别说明：</w:t>
      </w:r>
    </w:p>
    <w:p>
      <w:pPr>
        <w:adjustRightInd/>
        <w:snapToGrid/>
        <w:spacing w:line="360" w:lineRule="auto"/>
        <w:rPr>
          <w:rFonts w:cs="仿宋" w:hAnsiTheme="minorEastAsia"/>
          <w:szCs w:val="24"/>
        </w:rPr>
      </w:pPr>
      <w:r>
        <w:rPr>
          <w:rFonts w:hint="eastAsia" w:cs="仿宋" w:hAnsiTheme="minorEastAsia"/>
          <w:szCs w:val="24"/>
        </w:rPr>
        <w:t xml:space="preserve">   </w:t>
      </w:r>
      <w:r>
        <w:rPr>
          <w:rFonts w:hint="eastAsia" w:cs="仿宋" w:hAnsiTheme="minorEastAsia"/>
          <w:b/>
          <w:szCs w:val="24"/>
        </w:rPr>
        <w:t>（一）</w:t>
      </w:r>
      <w:r>
        <w:rPr>
          <w:rFonts w:hint="eastAsia" w:cs="仿宋" w:hAnsiTheme="minorEastAsia"/>
          <w:b/>
          <w:bCs/>
          <w:szCs w:val="24"/>
        </w:rPr>
        <w:t>安全运输要求高：</w:t>
      </w:r>
      <w:r>
        <w:rPr>
          <w:rFonts w:hint="eastAsia" w:cs="仿宋" w:hAnsiTheme="minorEastAsia"/>
          <w:szCs w:val="24"/>
        </w:rPr>
        <w:t>我单位运输物资主要是用品或设备，如</w:t>
      </w:r>
      <w:bookmarkStart w:id="11" w:name="_GoBack"/>
      <w:bookmarkEnd w:id="11"/>
      <w:r>
        <w:rPr>
          <w:rFonts w:hint="eastAsia" w:cs="仿宋" w:hAnsiTheme="minorEastAsia"/>
          <w:szCs w:val="24"/>
        </w:rPr>
        <w:t>办公</w:t>
      </w:r>
      <w:r>
        <w:rPr>
          <w:rFonts w:hint="eastAsia" w:cs="仿宋" w:hAnsiTheme="minorEastAsia"/>
          <w:szCs w:val="24"/>
          <w:lang w:eastAsia="zh-CN"/>
        </w:rPr>
        <w:t>设备</w:t>
      </w:r>
      <w:r>
        <w:rPr>
          <w:rFonts w:hint="eastAsia" w:cs="仿宋" w:hAnsiTheme="minorEastAsia"/>
          <w:szCs w:val="24"/>
        </w:rPr>
        <w:t>，</w:t>
      </w:r>
      <w:r>
        <w:rPr>
          <w:rFonts w:hint="eastAsia" w:cs="仿宋" w:hAnsiTheme="minorEastAsia"/>
          <w:szCs w:val="24"/>
          <w:lang w:eastAsia="zh-CN"/>
        </w:rPr>
        <w:t>个人</w:t>
      </w:r>
      <w:r>
        <w:rPr>
          <w:rFonts w:hint="eastAsia" w:cs="仿宋" w:hAnsiTheme="minorEastAsia"/>
          <w:szCs w:val="24"/>
        </w:rPr>
        <w:t>物品等。</w:t>
      </w:r>
    </w:p>
    <w:p>
      <w:pPr>
        <w:adjustRightInd/>
        <w:snapToGrid/>
        <w:spacing w:line="360" w:lineRule="auto"/>
        <w:rPr>
          <w:rFonts w:cs="仿宋" w:hAnsiTheme="minorEastAsia"/>
          <w:szCs w:val="24"/>
        </w:rPr>
      </w:pPr>
      <w:r>
        <w:rPr>
          <w:rFonts w:hint="eastAsia" w:cs="仿宋" w:hAnsiTheme="minorEastAsia"/>
          <w:szCs w:val="24"/>
        </w:rPr>
        <w:t xml:space="preserve">   </w:t>
      </w:r>
      <w:r>
        <w:rPr>
          <w:rFonts w:hint="eastAsia" w:cs="仿宋" w:hAnsiTheme="minorEastAsia"/>
          <w:b/>
          <w:szCs w:val="24"/>
        </w:rPr>
        <w:t xml:space="preserve"> (二）</w:t>
      </w:r>
      <w:r>
        <w:rPr>
          <w:rFonts w:hint="eastAsia" w:cs="仿宋" w:hAnsiTheme="minorEastAsia"/>
          <w:b/>
          <w:bCs/>
          <w:szCs w:val="24"/>
        </w:rPr>
        <w:t>时间跨度长，任务下达急</w:t>
      </w:r>
      <w:r>
        <w:rPr>
          <w:rFonts w:hint="eastAsia" w:cs="仿宋" w:hAnsiTheme="minorEastAsia"/>
          <w:b/>
          <w:szCs w:val="24"/>
        </w:rPr>
        <w:t>：</w:t>
      </w:r>
      <w:r>
        <w:rPr>
          <w:rFonts w:hint="eastAsia" w:cs="仿宋" w:hAnsiTheme="minorEastAsia"/>
          <w:szCs w:val="24"/>
        </w:rPr>
        <w:t>运输时间无固定，随叫随到并保证24小时全天候服务。为保证运输任务完成，须长期固定2-3辆保持随时待命状态。（运输货车早7：00至10:00,下午16:00至20:00五环内禁行）每次运输任务早7:00前车辆必须到位。参与运输，包装搬运人员需相对固定，不能频繁更换，司机操作娴熟、路线熟悉、快速到位，包装搬运人员手脚娴熟麻利，能准确无误高效的完成任务。</w:t>
      </w:r>
    </w:p>
    <w:p>
      <w:pPr>
        <w:adjustRightInd/>
        <w:snapToGrid/>
        <w:spacing w:line="360" w:lineRule="auto"/>
        <w:ind w:firstLine="482" w:firstLineChars="200"/>
        <w:rPr>
          <w:rFonts w:cs="仿宋" w:hAnsiTheme="minorEastAsia"/>
          <w:szCs w:val="24"/>
        </w:rPr>
      </w:pPr>
      <w:r>
        <w:rPr>
          <w:rFonts w:hint="eastAsia" w:cs="仿宋" w:hAnsiTheme="minorEastAsia"/>
          <w:b/>
          <w:szCs w:val="24"/>
        </w:rPr>
        <w:t>（三）</w:t>
      </w:r>
      <w:r>
        <w:rPr>
          <w:rFonts w:hint="eastAsia" w:cs="仿宋" w:hAnsiTheme="minorEastAsia"/>
          <w:b/>
          <w:bCs/>
          <w:szCs w:val="24"/>
        </w:rPr>
        <w:t>政治要求高：</w:t>
      </w:r>
      <w:r>
        <w:rPr>
          <w:rFonts w:hint="eastAsia" w:cs="仿宋" w:hAnsiTheme="minorEastAsia"/>
          <w:bCs/>
          <w:szCs w:val="24"/>
        </w:rPr>
        <w:t>运</w:t>
      </w:r>
      <w:r>
        <w:rPr>
          <w:rFonts w:hint="eastAsia" w:cs="仿宋" w:hAnsiTheme="minorEastAsia"/>
          <w:szCs w:val="24"/>
        </w:rPr>
        <w:t>输司机及装卸工需提供身份证复印件、驾驶证、健康证明、无犯罪记录证明等有效身份证明材料。（邮袋包装人员需签订保密协议并提前一天报备，接待来访团组需提前一周报备）。</w:t>
      </w:r>
    </w:p>
    <w:p>
      <w:pPr>
        <w:adjustRightInd/>
        <w:snapToGrid/>
        <w:spacing w:line="360" w:lineRule="auto"/>
        <w:ind w:firstLine="482" w:firstLineChars="200"/>
        <w:rPr>
          <w:rFonts w:cs="仿宋" w:hAnsiTheme="minorEastAsia"/>
          <w:szCs w:val="24"/>
        </w:rPr>
      </w:pPr>
      <w:r>
        <w:rPr>
          <w:rFonts w:hint="eastAsia" w:cs="仿宋" w:hAnsiTheme="minorEastAsia"/>
          <w:b/>
          <w:szCs w:val="24"/>
        </w:rPr>
        <w:t>（四）</w:t>
      </w:r>
      <w:r>
        <w:rPr>
          <w:rFonts w:hint="eastAsia" w:cs="仿宋" w:hAnsiTheme="minorEastAsia"/>
          <w:b/>
          <w:bCs/>
          <w:szCs w:val="24"/>
        </w:rPr>
        <w:t>具备应对突发情况的能力：</w:t>
      </w:r>
      <w:r>
        <w:rPr>
          <w:rFonts w:hint="eastAsia" w:cs="仿宋" w:hAnsiTheme="minorEastAsia"/>
          <w:bCs/>
          <w:szCs w:val="24"/>
        </w:rPr>
        <w:t>能</w:t>
      </w:r>
      <w:r>
        <w:rPr>
          <w:rFonts w:hint="eastAsia" w:cs="仿宋" w:hAnsiTheme="minorEastAsia"/>
          <w:szCs w:val="24"/>
        </w:rPr>
        <w:t>灵活应对突发情况，如疫情下北京至武清的运输路线、人员调配、核酸检测、人员隔离的应急事件，准时、快捷、安全的完成运输、包装装卸任务。</w:t>
      </w:r>
    </w:p>
    <w:p>
      <w:pPr>
        <w:adjustRightInd/>
        <w:snapToGrid/>
        <w:spacing w:line="360" w:lineRule="auto"/>
        <w:ind w:firstLine="482" w:firstLineChars="200"/>
        <w:rPr>
          <w:rFonts w:cs="仿宋" w:hAnsiTheme="minorEastAsia"/>
          <w:szCs w:val="24"/>
        </w:rPr>
      </w:pPr>
      <w:r>
        <w:rPr>
          <w:rFonts w:hint="eastAsia" w:cs="仿宋" w:hAnsiTheme="minorEastAsia"/>
          <w:b/>
          <w:szCs w:val="24"/>
        </w:rPr>
        <w:t>（五）</w:t>
      </w:r>
      <w:r>
        <w:rPr>
          <w:rFonts w:hint="eastAsia" w:cs="仿宋" w:hAnsiTheme="minorEastAsia"/>
          <w:b/>
          <w:bCs/>
          <w:szCs w:val="24"/>
        </w:rPr>
        <w:t>原则问题</w:t>
      </w:r>
      <w:r>
        <w:rPr>
          <w:rFonts w:hint="eastAsia" w:cs="仿宋" w:hAnsiTheme="minorEastAsia"/>
          <w:b/>
          <w:szCs w:val="24"/>
        </w:rPr>
        <w:t>：</w:t>
      </w:r>
      <w:r>
        <w:rPr>
          <w:rFonts w:hint="eastAsia" w:cs="仿宋" w:hAnsiTheme="minorEastAsia"/>
          <w:szCs w:val="24"/>
        </w:rPr>
        <w:t>出于安全考虑，全部应为专车运输，不接受拼车，运价及标准一旦确定，必须保证长期稳定的服务并包含其他责任条款（如丢失损坏的赔偿）。车辆及人员的情况。</w:t>
      </w:r>
    </w:p>
    <w:p>
      <w:pPr>
        <w:adjustRightInd/>
        <w:snapToGrid/>
        <w:spacing w:line="360" w:lineRule="auto"/>
        <w:ind w:firstLine="482" w:firstLineChars="200"/>
        <w:rPr>
          <w:rFonts w:cs="仿宋" w:hAnsiTheme="minorEastAsia"/>
          <w:szCs w:val="24"/>
        </w:rPr>
      </w:pPr>
      <w:r>
        <w:rPr>
          <w:rFonts w:hint="eastAsia" w:cs="仿宋" w:hAnsiTheme="minorEastAsia"/>
          <w:b/>
          <w:szCs w:val="24"/>
        </w:rPr>
        <w:t>（六）结算方式：</w:t>
      </w:r>
      <w:r>
        <w:rPr>
          <w:rFonts w:hint="eastAsia" w:cs="仿宋" w:hAnsiTheme="minorEastAsia"/>
          <w:szCs w:val="24"/>
        </w:rPr>
        <w:t>开发票汇款结算，正常情况每三个月一结算。</w:t>
      </w:r>
    </w:p>
    <w:p>
      <w:pPr>
        <w:adjustRightInd/>
        <w:snapToGrid/>
        <w:spacing w:line="360" w:lineRule="auto"/>
        <w:ind w:firstLine="480" w:firstLineChars="200"/>
        <w:rPr>
          <w:rFonts w:cs="仿宋" w:hAnsiTheme="minorEastAsia"/>
          <w:szCs w:val="24"/>
        </w:rPr>
      </w:pPr>
      <w:r>
        <w:rPr>
          <w:rFonts w:hint="eastAsia" w:cs="仿宋" w:hAnsiTheme="minorEastAsia"/>
          <w:szCs w:val="24"/>
        </w:rPr>
        <w:t>根据我单位市内运输的特殊性，建议采取运输价格和服务质量相结合的原则，根据不同的业务运输类型选用不同的供应商，按运输价格、时间效率、人员素养、特殊物资等细化评分标准，按得分顺序遴选供应商，顺次补位。</w:t>
      </w: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widowControl/>
        <w:adjustRightInd/>
        <w:snapToGrid/>
        <w:spacing w:line="360" w:lineRule="auto"/>
        <w:jc w:val="left"/>
        <w:rPr>
          <w:rFonts w:ascii="仿宋" w:hAnsi="仿宋" w:eastAsia="仿宋" w:cs="Arial"/>
          <w:b/>
          <w:bCs/>
        </w:rPr>
      </w:pPr>
    </w:p>
    <w:p>
      <w:pPr>
        <w:pStyle w:val="2"/>
      </w:pPr>
      <w:bookmarkStart w:id="9" w:name="_Toc71560341"/>
      <w:r>
        <w:rPr>
          <w:rFonts w:hint="eastAsia"/>
        </w:rPr>
        <w:t>第五章  合同草案条款</w:t>
      </w:r>
      <w:bookmarkEnd w:id="9"/>
    </w:p>
    <w:p>
      <w:pPr>
        <w:jc w:val="center"/>
        <w:rPr>
          <w:rFonts w:ascii="Arial" w:hAnsi="Arial" w:eastAsia="黑体" w:cs="Arial"/>
          <w:sz w:val="30"/>
          <w:szCs w:val="30"/>
        </w:rPr>
      </w:pPr>
      <w:bookmarkStart w:id="10" w:name="_Toc198105331"/>
      <w:r>
        <w:rPr>
          <w:rFonts w:ascii="Arial" w:hAnsi="Arial" w:eastAsia="黑体" w:cs="Arial"/>
          <w:sz w:val="30"/>
          <w:szCs w:val="30"/>
        </w:rPr>
        <w:t>合同格式</w:t>
      </w:r>
      <w:bookmarkEnd w:id="10"/>
    </w:p>
    <w:p>
      <w:pPr>
        <w:jc w:val="center"/>
        <w:rPr>
          <w:rFonts w:ascii="Arial" w:hAnsi="Arial" w:eastAsia="黑体" w:cs="Arial"/>
          <w:sz w:val="30"/>
          <w:szCs w:val="30"/>
        </w:rPr>
      </w:pPr>
      <w:r>
        <w:rPr>
          <w:rFonts w:ascii="Arial" w:hAnsi="Arial" w:eastAsia="黑体" w:cs="Arial"/>
          <w:sz w:val="30"/>
          <w:szCs w:val="30"/>
        </w:rPr>
        <w:t>（合同格式及内容需根据具体项目而定）</w:t>
      </w:r>
    </w:p>
    <w:p>
      <w:pPr>
        <w:rPr>
          <w:w w:val="80"/>
        </w:rPr>
      </w:pPr>
    </w:p>
    <w:p>
      <w:pPr>
        <w:spacing w:line="360" w:lineRule="auto"/>
        <w:ind w:firstLine="480" w:firstLineChars="200"/>
        <w:rPr>
          <w:rFonts w:ascii="Arial" w:hAnsi="Arial" w:cs="Arial"/>
          <w:u w:val="single"/>
        </w:rPr>
      </w:pPr>
      <w:r>
        <w:rPr>
          <w:rFonts w:ascii="Arial" w:hAnsi="Arial" w:cs="Arial"/>
        </w:rPr>
        <w:t>本合同编号为：</w:t>
      </w:r>
      <w:r>
        <w:rPr>
          <w:rFonts w:hint="eastAsia" w:ascii="Arial" w:hAnsi="Arial" w:cs="Arial"/>
          <w:u w:val="single"/>
        </w:rPr>
        <w:t xml:space="preserve">           </w:t>
      </w:r>
      <w:r>
        <w:rPr>
          <w:rFonts w:ascii="Arial" w:hAnsi="Arial" w:cs="Arial"/>
        </w:rPr>
        <w:t>，于年月日由（以下简称“</w:t>
      </w:r>
      <w:r>
        <w:rPr>
          <w:rFonts w:hint="eastAsia" w:ascii="Arial" w:hAnsi="Arial" w:cs="Arial"/>
        </w:rPr>
        <w:t>甲</w:t>
      </w:r>
      <w:r>
        <w:rPr>
          <w:rFonts w:ascii="Arial" w:hAnsi="Arial" w:cs="Arial"/>
        </w:rPr>
        <w:t>方”）为一方和（以下简称“</w:t>
      </w:r>
      <w:r>
        <w:rPr>
          <w:rFonts w:hint="eastAsia" w:ascii="Arial" w:hAnsi="Arial" w:cs="Arial"/>
        </w:rPr>
        <w:t>乙</w:t>
      </w:r>
      <w:r>
        <w:rPr>
          <w:rFonts w:ascii="Arial" w:hAnsi="Arial" w:cs="Arial"/>
        </w:rPr>
        <w:t>方”）为另一方按下述条款和条件签署。</w:t>
      </w:r>
    </w:p>
    <w:p>
      <w:pPr>
        <w:spacing w:line="360" w:lineRule="auto"/>
        <w:ind w:firstLine="480"/>
        <w:rPr>
          <w:rFonts w:ascii="Arial" w:hAnsi="Arial" w:cs="Arial"/>
          <w:u w:val="single"/>
        </w:rPr>
      </w:pPr>
      <w:r>
        <w:rPr>
          <w:rFonts w:ascii="Arial" w:hAnsi="Arial" w:cs="Arial"/>
        </w:rPr>
        <w:t>鉴于</w:t>
      </w:r>
      <w:r>
        <w:rPr>
          <w:rFonts w:hint="eastAsia" w:ascii="Arial" w:hAnsi="Arial" w:cs="Arial"/>
        </w:rPr>
        <w:t>甲</w:t>
      </w:r>
      <w:r>
        <w:rPr>
          <w:rFonts w:ascii="Arial" w:hAnsi="Arial" w:cs="Arial"/>
        </w:rPr>
        <w:t>方为获得（项目名称）项目中所需(货物或服务名称)而</w:t>
      </w:r>
      <w:r>
        <w:rPr>
          <w:rFonts w:hint="eastAsia" w:ascii="Arial" w:hAnsi="Arial" w:cs="Arial"/>
        </w:rPr>
        <w:t>组织竞争性磋商</w:t>
      </w:r>
      <w:r>
        <w:rPr>
          <w:rFonts w:ascii="Arial" w:hAnsi="Arial" w:cs="Arial"/>
        </w:rPr>
        <w:t>（</w:t>
      </w:r>
      <w:r>
        <w:rPr>
          <w:rFonts w:hint="eastAsia" w:ascii="Arial" w:hAnsi="Arial" w:cs="Arial"/>
        </w:rPr>
        <w:t>项目</w:t>
      </w:r>
      <w:r>
        <w:rPr>
          <w:rFonts w:ascii="Arial" w:hAnsi="Arial" w:cs="Arial"/>
        </w:rPr>
        <w:t>编号</w:t>
      </w:r>
      <w:r>
        <w:rPr>
          <w:rFonts w:hint="eastAsia" w:ascii="Arial" w:hAnsi="Arial" w:cs="Arial"/>
        </w:rPr>
        <w:t>：</w:t>
      </w:r>
      <w:r>
        <w:rPr>
          <w:rFonts w:ascii="Arial" w:hAnsi="Arial" w:cs="Arial"/>
        </w:rPr>
        <w:t>）并接受了</w:t>
      </w:r>
      <w:r>
        <w:rPr>
          <w:rFonts w:hint="eastAsia" w:ascii="Arial" w:hAnsi="Arial" w:cs="Arial"/>
        </w:rPr>
        <w:t>乙</w:t>
      </w:r>
      <w:r>
        <w:rPr>
          <w:rFonts w:ascii="Arial" w:hAnsi="Arial" w:cs="Arial"/>
        </w:rPr>
        <w:t>方以</w:t>
      </w:r>
      <w:r>
        <w:rPr>
          <w:rFonts w:hint="eastAsia" w:ascii="Arial" w:hAnsi="Arial" w:cs="Arial"/>
        </w:rPr>
        <w:t>综合</w:t>
      </w:r>
      <w:r>
        <w:rPr>
          <w:rFonts w:ascii="Arial" w:hAnsi="Arial" w:cs="Arial"/>
        </w:rPr>
        <w:t>单价（以下简称“合同价”）提供上述货物/服务的</w:t>
      </w:r>
      <w:r>
        <w:rPr>
          <w:rFonts w:hint="eastAsia" w:ascii="Arial" w:hAnsi="Arial" w:cs="Arial"/>
        </w:rPr>
        <w:t>响应方案</w:t>
      </w:r>
      <w:r>
        <w:rPr>
          <w:rFonts w:ascii="Arial" w:hAnsi="Arial" w:cs="Arial"/>
        </w:rPr>
        <w:t>，订立采购合同。</w:t>
      </w:r>
    </w:p>
    <w:p>
      <w:pPr>
        <w:numPr>
          <w:ilvl w:val="0"/>
          <w:numId w:val="10"/>
        </w:numPr>
        <w:spacing w:line="360" w:lineRule="auto"/>
        <w:rPr>
          <w:rFonts w:ascii="Arial" w:hAnsi="Arial" w:eastAsia="黑体" w:cs="Arial"/>
        </w:rPr>
      </w:pPr>
      <w:r>
        <w:rPr>
          <w:rFonts w:ascii="Arial" w:hAnsi="Arial" w:eastAsia="黑体" w:cs="Arial"/>
        </w:rPr>
        <w:t>合同文件</w:t>
      </w:r>
    </w:p>
    <w:p>
      <w:pPr>
        <w:spacing w:line="360" w:lineRule="auto"/>
        <w:ind w:firstLine="480" w:firstLineChars="200"/>
        <w:rPr>
          <w:rFonts w:ascii="Arial" w:hAnsi="Arial" w:cs="Arial"/>
        </w:rPr>
      </w:pPr>
      <w:r>
        <w:rPr>
          <w:rFonts w:ascii="Arial" w:hAnsi="Arial" w:cs="Arial"/>
        </w:rPr>
        <w:t>本合同所附下列文件是构成本合同不可分割的部分：</w:t>
      </w:r>
    </w:p>
    <w:p>
      <w:pPr>
        <w:pStyle w:val="12"/>
        <w:numPr>
          <w:ilvl w:val="0"/>
          <w:numId w:val="11"/>
        </w:numPr>
        <w:adjustRightInd w:val="0"/>
        <w:snapToGrid w:val="0"/>
        <w:spacing w:line="360" w:lineRule="auto"/>
        <w:rPr>
          <w:rFonts w:ascii="Arial" w:hAnsi="Arial" w:cs="Arial"/>
          <w:sz w:val="24"/>
          <w:szCs w:val="24"/>
        </w:rPr>
      </w:pPr>
      <w:r>
        <w:rPr>
          <w:rFonts w:ascii="Arial" w:hAnsi="Arial" w:cs="Arial"/>
          <w:sz w:val="24"/>
          <w:szCs w:val="24"/>
        </w:rPr>
        <w:t>合同主要条款及格式；（</w:t>
      </w:r>
      <w:r>
        <w:rPr>
          <w:rFonts w:hint="eastAsia" w:ascii="Arial" w:hAnsi="Arial" w:cs="Arial"/>
          <w:sz w:val="24"/>
          <w:szCs w:val="24"/>
        </w:rPr>
        <w:t>磋商</w:t>
      </w:r>
      <w:r>
        <w:rPr>
          <w:rFonts w:ascii="Arial" w:hAnsi="Arial" w:cs="Arial"/>
          <w:sz w:val="24"/>
          <w:szCs w:val="24"/>
        </w:rPr>
        <w:t>文件第五章）</w:t>
      </w:r>
    </w:p>
    <w:p>
      <w:pPr>
        <w:pStyle w:val="12"/>
        <w:numPr>
          <w:ilvl w:val="0"/>
          <w:numId w:val="11"/>
        </w:numPr>
        <w:adjustRightInd w:val="0"/>
        <w:snapToGrid w:val="0"/>
        <w:spacing w:line="360" w:lineRule="auto"/>
        <w:rPr>
          <w:rFonts w:ascii="Arial" w:hAnsi="Arial" w:cs="Arial"/>
          <w:sz w:val="24"/>
          <w:szCs w:val="24"/>
        </w:rPr>
      </w:pPr>
      <w:r>
        <w:rPr>
          <w:rFonts w:hint="eastAsia" w:ascii="Arial" w:hAnsi="Arial" w:cs="Arial"/>
          <w:sz w:val="24"/>
          <w:szCs w:val="24"/>
        </w:rPr>
        <w:t>供应商</w:t>
      </w:r>
      <w:r>
        <w:rPr>
          <w:rFonts w:ascii="Arial" w:hAnsi="Arial" w:cs="Arial"/>
          <w:sz w:val="24"/>
          <w:szCs w:val="24"/>
        </w:rPr>
        <w:t>提交的</w:t>
      </w:r>
      <w:r>
        <w:rPr>
          <w:rFonts w:hint="eastAsia" w:ascii="Arial" w:hAnsi="Arial" w:cs="Arial"/>
          <w:sz w:val="24"/>
          <w:szCs w:val="24"/>
        </w:rPr>
        <w:t>应答</w:t>
      </w:r>
      <w:r>
        <w:rPr>
          <w:rFonts w:ascii="Arial" w:hAnsi="Arial" w:cs="Arial"/>
          <w:sz w:val="24"/>
          <w:szCs w:val="24"/>
        </w:rPr>
        <w:t>函；（</w:t>
      </w:r>
      <w:r>
        <w:rPr>
          <w:rFonts w:hint="eastAsia" w:ascii="Arial" w:hAnsi="Arial" w:cs="Arial"/>
          <w:sz w:val="24"/>
          <w:szCs w:val="24"/>
        </w:rPr>
        <w:t>响应</w:t>
      </w:r>
      <w:r>
        <w:rPr>
          <w:rFonts w:ascii="Arial" w:hAnsi="Arial" w:cs="Arial"/>
          <w:sz w:val="24"/>
          <w:szCs w:val="24"/>
        </w:rPr>
        <w:t>文件）</w:t>
      </w:r>
    </w:p>
    <w:p>
      <w:pPr>
        <w:pStyle w:val="12"/>
        <w:numPr>
          <w:ilvl w:val="0"/>
          <w:numId w:val="11"/>
        </w:numPr>
        <w:adjustRightInd w:val="0"/>
        <w:snapToGrid w:val="0"/>
        <w:spacing w:line="360" w:lineRule="auto"/>
        <w:rPr>
          <w:rFonts w:ascii="Arial" w:hAnsi="Arial" w:cs="Arial"/>
          <w:sz w:val="24"/>
          <w:szCs w:val="24"/>
        </w:rPr>
      </w:pPr>
      <w:r>
        <w:rPr>
          <w:rFonts w:ascii="Arial" w:hAnsi="Arial" w:cs="Arial"/>
          <w:sz w:val="24"/>
          <w:szCs w:val="24"/>
        </w:rPr>
        <w:t>报价一览表</w:t>
      </w:r>
      <w:r>
        <w:rPr>
          <w:rFonts w:hint="eastAsia" w:ascii="Arial" w:hAnsi="Arial" w:cs="Arial"/>
          <w:sz w:val="24"/>
          <w:szCs w:val="24"/>
        </w:rPr>
        <w:t>及最终报价表</w:t>
      </w:r>
      <w:r>
        <w:rPr>
          <w:rFonts w:ascii="Arial" w:hAnsi="Arial" w:cs="Arial"/>
          <w:sz w:val="24"/>
          <w:szCs w:val="24"/>
        </w:rPr>
        <w:t>；（</w:t>
      </w:r>
      <w:r>
        <w:rPr>
          <w:rFonts w:hint="eastAsia" w:ascii="Arial" w:hAnsi="Arial" w:cs="Arial"/>
          <w:sz w:val="24"/>
          <w:szCs w:val="24"/>
        </w:rPr>
        <w:t>响应</w:t>
      </w:r>
      <w:r>
        <w:rPr>
          <w:rFonts w:ascii="Arial" w:hAnsi="Arial" w:cs="Arial"/>
          <w:sz w:val="24"/>
          <w:szCs w:val="24"/>
        </w:rPr>
        <w:t>文件</w:t>
      </w:r>
      <w:r>
        <w:rPr>
          <w:rFonts w:hint="eastAsia" w:ascii="Arial" w:hAnsi="Arial" w:cs="Arial"/>
          <w:sz w:val="24"/>
          <w:szCs w:val="24"/>
        </w:rPr>
        <w:t>、澄清函</w:t>
      </w:r>
      <w:r>
        <w:rPr>
          <w:rFonts w:ascii="Arial" w:hAnsi="Arial" w:cs="Arial"/>
          <w:sz w:val="24"/>
          <w:szCs w:val="24"/>
        </w:rPr>
        <w:t>）</w:t>
      </w:r>
    </w:p>
    <w:p>
      <w:pPr>
        <w:pStyle w:val="12"/>
        <w:numPr>
          <w:ilvl w:val="0"/>
          <w:numId w:val="11"/>
        </w:numPr>
        <w:adjustRightInd w:val="0"/>
        <w:snapToGrid w:val="0"/>
        <w:spacing w:line="360" w:lineRule="auto"/>
        <w:rPr>
          <w:rFonts w:ascii="Arial" w:hAnsi="Arial" w:cs="Arial"/>
          <w:sz w:val="24"/>
          <w:szCs w:val="24"/>
        </w:rPr>
      </w:pPr>
      <w:r>
        <w:rPr>
          <w:rFonts w:hint="eastAsia" w:ascii="Arial" w:hAnsi="Arial" w:cs="Arial"/>
          <w:sz w:val="24"/>
          <w:szCs w:val="24"/>
        </w:rPr>
        <w:t>项目</w:t>
      </w:r>
      <w:r>
        <w:rPr>
          <w:rFonts w:ascii="Arial" w:hAnsi="Arial" w:cs="Arial"/>
          <w:sz w:val="24"/>
          <w:szCs w:val="24"/>
        </w:rPr>
        <w:t>需求书；（</w:t>
      </w:r>
      <w:r>
        <w:rPr>
          <w:rFonts w:hint="eastAsia" w:ascii="Arial" w:hAnsi="Arial" w:cs="Arial"/>
          <w:sz w:val="24"/>
          <w:szCs w:val="24"/>
        </w:rPr>
        <w:t>磋商</w:t>
      </w:r>
      <w:r>
        <w:rPr>
          <w:rFonts w:ascii="Arial" w:hAnsi="Arial" w:cs="Arial"/>
          <w:sz w:val="24"/>
          <w:szCs w:val="24"/>
        </w:rPr>
        <w:t>文件第四章）</w:t>
      </w:r>
    </w:p>
    <w:p>
      <w:pPr>
        <w:pStyle w:val="12"/>
        <w:numPr>
          <w:ilvl w:val="0"/>
          <w:numId w:val="11"/>
        </w:numPr>
        <w:adjustRightInd w:val="0"/>
        <w:snapToGrid w:val="0"/>
        <w:spacing w:line="360" w:lineRule="auto"/>
        <w:rPr>
          <w:rFonts w:ascii="Arial" w:hAnsi="Arial" w:cs="Arial"/>
          <w:sz w:val="24"/>
          <w:szCs w:val="24"/>
        </w:rPr>
      </w:pPr>
      <w:r>
        <w:rPr>
          <w:rFonts w:ascii="Arial" w:hAnsi="Arial" w:cs="Arial"/>
          <w:sz w:val="24"/>
          <w:szCs w:val="24"/>
        </w:rPr>
        <w:t>技术偏离表；（</w:t>
      </w:r>
      <w:r>
        <w:rPr>
          <w:rFonts w:hint="eastAsia" w:ascii="Arial" w:hAnsi="Arial" w:cs="Arial"/>
          <w:sz w:val="24"/>
          <w:szCs w:val="24"/>
        </w:rPr>
        <w:t>响应</w:t>
      </w:r>
      <w:r>
        <w:rPr>
          <w:rFonts w:ascii="Arial" w:hAnsi="Arial" w:cs="Arial"/>
          <w:sz w:val="24"/>
          <w:szCs w:val="24"/>
        </w:rPr>
        <w:t>文件）</w:t>
      </w:r>
    </w:p>
    <w:p>
      <w:pPr>
        <w:pStyle w:val="12"/>
        <w:numPr>
          <w:ilvl w:val="0"/>
          <w:numId w:val="11"/>
        </w:numPr>
        <w:adjustRightInd w:val="0"/>
        <w:snapToGrid w:val="0"/>
        <w:spacing w:line="360" w:lineRule="auto"/>
        <w:rPr>
          <w:rFonts w:ascii="Arial" w:hAnsi="Arial" w:cs="Arial"/>
          <w:sz w:val="24"/>
          <w:szCs w:val="24"/>
        </w:rPr>
      </w:pPr>
      <w:r>
        <w:rPr>
          <w:rFonts w:hint="eastAsia" w:ascii="Arial" w:hAnsi="Arial" w:cs="Arial"/>
          <w:sz w:val="24"/>
          <w:szCs w:val="24"/>
        </w:rPr>
        <w:t>成交</w:t>
      </w:r>
      <w:r>
        <w:rPr>
          <w:rFonts w:ascii="Arial" w:hAnsi="Arial" w:cs="Arial"/>
          <w:sz w:val="24"/>
          <w:szCs w:val="24"/>
        </w:rPr>
        <w:t>通知书；</w:t>
      </w:r>
    </w:p>
    <w:p>
      <w:pPr>
        <w:pStyle w:val="12"/>
        <w:numPr>
          <w:ilvl w:val="0"/>
          <w:numId w:val="11"/>
        </w:numPr>
        <w:adjustRightInd w:val="0"/>
        <w:snapToGrid w:val="0"/>
        <w:spacing w:line="360" w:lineRule="auto"/>
        <w:rPr>
          <w:rFonts w:ascii="Arial" w:hAnsi="Arial" w:cs="Arial"/>
          <w:sz w:val="24"/>
          <w:szCs w:val="24"/>
        </w:rPr>
      </w:pPr>
      <w:r>
        <w:rPr>
          <w:rFonts w:ascii="Arial" w:hAnsi="Arial" w:cs="Arial"/>
          <w:sz w:val="24"/>
          <w:szCs w:val="24"/>
        </w:rPr>
        <w:t>履约保函（格式）。</w:t>
      </w:r>
    </w:p>
    <w:p>
      <w:pPr>
        <w:numPr>
          <w:ilvl w:val="0"/>
          <w:numId w:val="10"/>
        </w:numPr>
        <w:spacing w:line="360" w:lineRule="auto"/>
        <w:rPr>
          <w:rFonts w:ascii="Arial" w:hAnsi="Arial" w:eastAsia="黑体" w:cs="Arial"/>
        </w:rPr>
      </w:pPr>
      <w:r>
        <w:rPr>
          <w:rFonts w:ascii="Arial" w:hAnsi="Arial" w:eastAsia="黑体" w:cs="Arial"/>
        </w:rPr>
        <w:t>合同范围和条件</w:t>
      </w:r>
    </w:p>
    <w:p>
      <w:pPr>
        <w:spacing w:line="360" w:lineRule="auto"/>
        <w:ind w:firstLine="480" w:firstLineChars="200"/>
        <w:rPr>
          <w:rFonts w:ascii="Arial" w:hAnsi="Arial" w:cs="Arial"/>
        </w:rPr>
      </w:pPr>
      <w:r>
        <w:rPr>
          <w:rFonts w:ascii="Arial" w:hAnsi="Arial" w:cs="Arial"/>
        </w:rPr>
        <w:t>本合同的范围和条件应根据</w:t>
      </w:r>
      <w:r>
        <w:rPr>
          <w:rFonts w:hint="eastAsia" w:ascii="Arial" w:hAnsi="Arial" w:cs="Arial"/>
        </w:rPr>
        <w:t>磋商</w:t>
      </w:r>
      <w:r>
        <w:rPr>
          <w:rFonts w:ascii="Arial" w:hAnsi="Arial" w:cs="Arial"/>
        </w:rPr>
        <w:t>文件第四章的内容和</w:t>
      </w:r>
      <w:r>
        <w:rPr>
          <w:rFonts w:hint="eastAsia" w:ascii="Arial" w:hAnsi="Arial" w:cs="Arial"/>
        </w:rPr>
        <w:t>成交供应商</w:t>
      </w:r>
      <w:r>
        <w:rPr>
          <w:rFonts w:ascii="Arial" w:hAnsi="Arial" w:cs="Arial"/>
        </w:rPr>
        <w:t>实际响应情况填写。</w:t>
      </w:r>
    </w:p>
    <w:p>
      <w:pPr>
        <w:numPr>
          <w:ilvl w:val="0"/>
          <w:numId w:val="10"/>
        </w:numPr>
        <w:spacing w:line="360" w:lineRule="auto"/>
        <w:rPr>
          <w:rFonts w:ascii="Arial" w:hAnsi="Arial" w:eastAsia="黑体" w:cs="Arial"/>
        </w:rPr>
      </w:pPr>
      <w:r>
        <w:rPr>
          <w:rFonts w:ascii="Arial" w:hAnsi="Arial" w:eastAsia="黑体" w:cs="Arial"/>
        </w:rPr>
        <w:t>货物/服务及数量</w:t>
      </w:r>
    </w:p>
    <w:p>
      <w:pPr>
        <w:spacing w:line="360" w:lineRule="auto"/>
        <w:ind w:firstLine="480" w:firstLineChars="200"/>
        <w:rPr>
          <w:rFonts w:ascii="Arial" w:hAnsi="Arial" w:cs="Arial"/>
        </w:rPr>
      </w:pPr>
      <w:r>
        <w:rPr>
          <w:rFonts w:ascii="Arial" w:hAnsi="Arial" w:cs="Arial"/>
        </w:rPr>
        <w:t>本合同所提供的货物</w:t>
      </w:r>
      <w:r>
        <w:rPr>
          <w:rFonts w:ascii="Arial" w:hAnsi="Arial" w:eastAsia="黑体" w:cs="Arial"/>
        </w:rPr>
        <w:t>/</w:t>
      </w:r>
      <w:r>
        <w:rPr>
          <w:rFonts w:ascii="Arial" w:hAnsi="Arial" w:cs="Arial"/>
        </w:rPr>
        <w:t>服务及数量以</w:t>
      </w:r>
      <w:r>
        <w:rPr>
          <w:rFonts w:hint="eastAsia" w:ascii="Arial" w:hAnsi="Arial" w:cs="Arial"/>
        </w:rPr>
        <w:t>成交供应商</w:t>
      </w:r>
      <w:r>
        <w:rPr>
          <w:rFonts w:ascii="Arial" w:hAnsi="Arial" w:cs="Arial"/>
        </w:rPr>
        <w:t>的“</w:t>
      </w:r>
      <w:r>
        <w:rPr>
          <w:rFonts w:hint="eastAsia" w:ascii="Arial" w:hAnsi="Arial" w:cs="Arial"/>
        </w:rPr>
        <w:t>最终报价及</w:t>
      </w:r>
      <w:r>
        <w:rPr>
          <w:rFonts w:ascii="Arial" w:hAnsi="Arial" w:cs="Arial"/>
        </w:rPr>
        <w:t>分项报价表”为准。</w:t>
      </w:r>
    </w:p>
    <w:p>
      <w:pPr>
        <w:numPr>
          <w:ilvl w:val="0"/>
          <w:numId w:val="10"/>
        </w:numPr>
        <w:spacing w:line="360" w:lineRule="auto"/>
        <w:rPr>
          <w:rFonts w:ascii="Arial" w:hAnsi="Arial" w:eastAsia="黑体" w:cs="Arial"/>
        </w:rPr>
      </w:pPr>
      <w:r>
        <w:rPr>
          <w:rFonts w:ascii="Arial" w:hAnsi="Arial" w:eastAsia="黑体" w:cs="Arial"/>
        </w:rPr>
        <w:t>合同金额</w:t>
      </w:r>
    </w:p>
    <w:p>
      <w:pPr>
        <w:spacing w:line="360" w:lineRule="auto"/>
        <w:ind w:firstLine="480" w:firstLineChars="200"/>
        <w:rPr>
          <w:rFonts w:ascii="Arial" w:hAnsi="Arial" w:cs="Arial"/>
        </w:rPr>
      </w:pPr>
      <w:r>
        <w:rPr>
          <w:rFonts w:ascii="Arial" w:hAnsi="Arial" w:cs="Arial"/>
        </w:rPr>
        <w:t>合同的总金额为人民币元，分项价格在分项报价表中有明确规定。</w:t>
      </w:r>
    </w:p>
    <w:p>
      <w:pPr>
        <w:numPr>
          <w:ilvl w:val="0"/>
          <w:numId w:val="10"/>
        </w:numPr>
        <w:spacing w:line="360" w:lineRule="auto"/>
        <w:rPr>
          <w:rFonts w:ascii="Arial" w:hAnsi="Arial" w:eastAsia="黑体" w:cs="Arial"/>
        </w:rPr>
      </w:pPr>
      <w:r>
        <w:rPr>
          <w:rFonts w:ascii="Arial" w:hAnsi="Arial" w:eastAsia="黑体" w:cs="Arial"/>
        </w:rPr>
        <w:t>付款条件</w:t>
      </w:r>
    </w:p>
    <w:p>
      <w:pPr>
        <w:spacing w:line="360" w:lineRule="auto"/>
        <w:ind w:firstLine="480" w:firstLineChars="200"/>
        <w:rPr>
          <w:rFonts w:ascii="Arial" w:hAnsi="Arial" w:cs="Arial"/>
        </w:rPr>
      </w:pPr>
      <w:r>
        <w:rPr>
          <w:rFonts w:ascii="Arial" w:hAnsi="Arial" w:cs="Arial"/>
        </w:rPr>
        <w:t>本合同货物</w:t>
      </w:r>
      <w:r>
        <w:rPr>
          <w:rFonts w:hint="eastAsia" w:ascii="Arial" w:hAnsi="Arial" w:cs="Arial"/>
        </w:rPr>
        <w:t>/服务</w:t>
      </w:r>
      <w:r>
        <w:rPr>
          <w:rFonts w:ascii="Arial" w:hAnsi="Arial" w:cs="Arial"/>
        </w:rPr>
        <w:t>的付款条件在合同主要条款列表中有明确规定。</w:t>
      </w:r>
    </w:p>
    <w:p>
      <w:pPr>
        <w:numPr>
          <w:ilvl w:val="0"/>
          <w:numId w:val="10"/>
        </w:numPr>
        <w:spacing w:line="360" w:lineRule="auto"/>
        <w:rPr>
          <w:rFonts w:ascii="Arial" w:hAnsi="Arial" w:eastAsia="黑体" w:cs="Arial"/>
        </w:rPr>
      </w:pPr>
      <w:r>
        <w:rPr>
          <w:rFonts w:hint="eastAsia" w:ascii="黑体" w:hAnsi="黑体" w:eastAsia="黑体" w:cs="Arial"/>
        </w:rPr>
        <w:t>交货/服务</w:t>
      </w:r>
      <w:r>
        <w:rPr>
          <w:rFonts w:hint="eastAsia" w:ascii="Arial" w:hAnsi="Arial" w:eastAsia="黑体" w:cs="Arial"/>
        </w:rPr>
        <w:t>时间及</w:t>
      </w:r>
      <w:r>
        <w:rPr>
          <w:rFonts w:ascii="Arial" w:hAnsi="Arial" w:eastAsia="黑体" w:cs="Arial"/>
        </w:rPr>
        <w:t>地点</w:t>
      </w:r>
      <w:r>
        <w:rPr>
          <w:rFonts w:hint="eastAsia" w:ascii="Arial" w:hAnsi="Arial" w:eastAsia="黑体" w:cs="Arial"/>
        </w:rPr>
        <w:t xml:space="preserve"> </w:t>
      </w:r>
    </w:p>
    <w:p>
      <w:pPr>
        <w:tabs>
          <w:tab w:val="left" w:pos="482"/>
        </w:tabs>
        <w:spacing w:line="360" w:lineRule="auto"/>
        <w:ind w:left="482"/>
        <w:rPr>
          <w:rFonts w:ascii="Arial" w:hAnsi="Arial" w:eastAsia="黑体" w:cs="Arial"/>
        </w:rPr>
      </w:pPr>
      <w:r>
        <w:rPr>
          <w:rFonts w:ascii="Arial" w:hAnsi="Arial" w:cs="Arial"/>
        </w:rPr>
        <w:t>北京市内全覆盖、北京市内至天津武清跨省运输</w:t>
      </w:r>
      <w:r>
        <w:rPr>
          <w:rFonts w:hint="eastAsia" w:ascii="Arial" w:hAnsi="Arial" w:cs="Arial"/>
        </w:rPr>
        <w:t>。</w:t>
      </w:r>
    </w:p>
    <w:p>
      <w:pPr>
        <w:numPr>
          <w:ilvl w:val="0"/>
          <w:numId w:val="10"/>
        </w:numPr>
        <w:spacing w:line="360" w:lineRule="auto"/>
        <w:rPr>
          <w:rFonts w:ascii="Arial" w:hAnsi="Arial" w:eastAsia="黑体" w:cs="Arial"/>
        </w:rPr>
      </w:pPr>
      <w:r>
        <w:rPr>
          <w:rFonts w:ascii="Arial" w:hAnsi="Arial" w:eastAsia="黑体" w:cs="Arial"/>
        </w:rPr>
        <w:t>误期赔偿费</w:t>
      </w:r>
    </w:p>
    <w:p>
      <w:pPr>
        <w:spacing w:line="360" w:lineRule="auto"/>
        <w:ind w:left="482"/>
        <w:rPr>
          <w:rFonts w:ascii="Arial" w:hAnsi="Arial" w:eastAsia="黑体" w:cs="Arial"/>
        </w:rPr>
      </w:pPr>
      <w:r>
        <w:rPr>
          <w:rFonts w:ascii="Arial" w:hAnsi="Arial" w:cs="Arial"/>
        </w:rPr>
        <w:t>如果乙方没有按照合同规定的时间交货和提供服务，应向甲方支付误期赔偿费。每延误一日的赔偿费按</w:t>
      </w:r>
      <w:r>
        <w:rPr>
          <w:rFonts w:hint="eastAsia" w:ascii="Arial" w:hAnsi="Arial" w:cs="Arial"/>
        </w:rPr>
        <w:t>固定金额1000元</w:t>
      </w:r>
      <w:r>
        <w:rPr>
          <w:rFonts w:ascii="Arial" w:hAnsi="Arial" w:cs="Arial"/>
        </w:rPr>
        <w:t>计收，直至交货或提供服务为止。误期赔偿费的最高限额为</w:t>
      </w:r>
      <w:r>
        <w:rPr>
          <w:rFonts w:hint="eastAsia" w:ascii="Arial" w:hAnsi="Arial" w:cs="Arial"/>
        </w:rPr>
        <w:t>固定</w:t>
      </w:r>
      <w:r>
        <w:rPr>
          <w:rFonts w:ascii="Arial" w:hAnsi="Arial" w:cs="Arial"/>
        </w:rPr>
        <w:t>金额</w:t>
      </w:r>
      <w:r>
        <w:rPr>
          <w:rFonts w:hint="eastAsia" w:ascii="Arial" w:hAnsi="Arial" w:cs="Arial"/>
        </w:rPr>
        <w:t>300000.00元</w:t>
      </w:r>
      <w:r>
        <w:rPr>
          <w:rFonts w:ascii="Arial" w:hAnsi="Arial" w:cs="Arial"/>
        </w:rPr>
        <w:t>。一旦达到误期赔偿费的最高限额，甲方可考虑终止合同，甲方不承担任何责任。</w:t>
      </w:r>
    </w:p>
    <w:p>
      <w:pPr>
        <w:spacing w:line="360" w:lineRule="auto"/>
        <w:ind w:firstLine="480" w:firstLineChars="200"/>
        <w:rPr>
          <w:rFonts w:ascii="Arial" w:hAnsi="Arial" w:cs="Arial"/>
        </w:rPr>
      </w:pPr>
    </w:p>
    <w:p>
      <w:pPr>
        <w:numPr>
          <w:ilvl w:val="0"/>
          <w:numId w:val="10"/>
        </w:numPr>
        <w:spacing w:line="360" w:lineRule="auto"/>
        <w:rPr>
          <w:rFonts w:ascii="Arial" w:hAnsi="Arial" w:eastAsia="黑体" w:cs="Arial"/>
        </w:rPr>
      </w:pPr>
      <w:r>
        <w:rPr>
          <w:rFonts w:ascii="Arial" w:hAnsi="Arial" w:eastAsia="黑体" w:cs="Arial"/>
        </w:rPr>
        <w:t>合同生效</w:t>
      </w:r>
    </w:p>
    <w:p>
      <w:pPr>
        <w:spacing w:line="360" w:lineRule="auto"/>
        <w:ind w:firstLine="480" w:firstLineChars="200"/>
        <w:rPr>
          <w:rFonts w:ascii="Arial" w:hAnsi="Arial" w:cs="Arial"/>
        </w:rPr>
      </w:pPr>
      <w:r>
        <w:rPr>
          <w:rFonts w:ascii="Arial" w:hAnsi="Arial" w:cs="Arial"/>
        </w:rPr>
        <w:t>本合同经双方授权代表签字盖章且</w:t>
      </w:r>
      <w:r>
        <w:rPr>
          <w:rFonts w:hint="eastAsia" w:ascii="Arial" w:hAnsi="Arial" w:cs="Arial"/>
        </w:rPr>
        <w:t>甲方</w:t>
      </w:r>
      <w:r>
        <w:rPr>
          <w:rFonts w:ascii="Arial" w:hAnsi="Arial" w:cs="Arial"/>
        </w:rPr>
        <w:t>收到</w:t>
      </w:r>
      <w:r>
        <w:rPr>
          <w:rFonts w:hint="eastAsia" w:ascii="Arial" w:hAnsi="Arial" w:cs="Arial"/>
        </w:rPr>
        <w:t>乙方</w:t>
      </w:r>
      <w:r>
        <w:rPr>
          <w:rFonts w:ascii="Arial" w:hAnsi="Arial" w:cs="Arial"/>
        </w:rPr>
        <w:t>提交的履约保证金后生效。本合同一式四份，买卖双方各持二份。</w:t>
      </w:r>
    </w:p>
    <w:p>
      <w:pPr>
        <w:pStyle w:val="72"/>
        <w:spacing w:after="0"/>
        <w:rPr>
          <w:rFonts w:ascii="Arial" w:hAnsi="Arial" w:cs="Arial"/>
        </w:rPr>
      </w:pPr>
    </w:p>
    <w:p>
      <w:pPr>
        <w:pStyle w:val="16"/>
        <w:rPr>
          <w:rFonts w:ascii="Arial" w:hAnsi="Arial" w:cs="Arial"/>
        </w:rPr>
      </w:pPr>
    </w:p>
    <w:p>
      <w:pPr>
        <w:spacing w:line="360" w:lineRule="auto"/>
        <w:rPr>
          <w:rFonts w:ascii="Arial" w:hAnsi="Arial" w:cs="Arial"/>
        </w:rPr>
      </w:pPr>
      <w:r>
        <w:rPr>
          <w:rFonts w:hint="eastAsia" w:ascii="Arial" w:hAnsi="Arial" w:cs="Arial"/>
        </w:rPr>
        <w:t>甲方</w:t>
      </w:r>
      <w:r>
        <w:rPr>
          <w:rFonts w:ascii="Arial" w:hAnsi="Arial" w:cs="Arial"/>
        </w:rPr>
        <w:t>：</w:t>
      </w:r>
      <w:r>
        <w:rPr>
          <w:rFonts w:hint="eastAsia" w:ascii="Arial" w:hAnsi="Arial" w:cs="Arial"/>
        </w:rPr>
        <w:t xml:space="preserve"> </w:t>
      </w:r>
      <w:r>
        <w:rPr>
          <w:rFonts w:ascii="Arial" w:hAnsi="Arial" w:cs="Arial"/>
          <w:u w:val="single"/>
        </w:rPr>
        <w:tab/>
      </w:r>
      <w:r>
        <w:rPr>
          <w:rFonts w:ascii="Arial" w:hAnsi="Arial" w:cs="Arial"/>
          <w:u w:val="single"/>
        </w:rPr>
        <w:tab/>
      </w:r>
      <w:r>
        <w:rPr>
          <w:rFonts w:hint="eastAsia" w:ascii="Arial" w:hAnsi="Arial" w:cs="Arial"/>
          <w:u w:val="single"/>
        </w:rPr>
        <w:t xml:space="preserve">                   </w:t>
      </w:r>
      <w:r>
        <w:rPr>
          <w:rFonts w:ascii="Arial" w:hAnsi="Arial" w:cs="Arial"/>
        </w:rPr>
        <w:tab/>
      </w:r>
      <w:r>
        <w:rPr>
          <w:rFonts w:hint="eastAsia" w:ascii="Arial" w:hAnsi="Arial" w:cs="Arial"/>
        </w:rPr>
        <w:t xml:space="preserve">      乙</w:t>
      </w:r>
      <w:r>
        <w:rPr>
          <w:rFonts w:ascii="Arial" w:hAnsi="Arial" w:cs="Arial"/>
        </w:rPr>
        <w:t>方：</w:t>
      </w:r>
      <w:r>
        <w:rPr>
          <w:rFonts w:ascii="Arial" w:hAnsi="Arial" w:cs="Arial"/>
          <w:u w:val="single"/>
        </w:rPr>
        <w:tab/>
      </w:r>
      <w:r>
        <w:rPr>
          <w:rFonts w:ascii="Arial" w:hAnsi="Arial" w:cs="Arial"/>
          <w:u w:val="single"/>
        </w:rPr>
        <w:tab/>
      </w:r>
      <w:r>
        <w:rPr>
          <w:rFonts w:hint="eastAsia" w:ascii="Arial" w:hAnsi="Arial" w:cs="Arial"/>
          <w:u w:val="single"/>
        </w:rPr>
        <w:t xml:space="preserve">                   </w:t>
      </w:r>
    </w:p>
    <w:p>
      <w:pPr>
        <w:spacing w:line="360" w:lineRule="auto"/>
        <w:rPr>
          <w:rFonts w:ascii="Arial" w:hAnsi="Arial" w:cs="Arial"/>
        </w:rPr>
      </w:pPr>
      <w:r>
        <w:rPr>
          <w:rFonts w:ascii="Arial" w:hAnsi="Arial" w:cs="Arial"/>
        </w:rPr>
        <w:t>（</w:t>
      </w:r>
      <w:r>
        <w:rPr>
          <w:rFonts w:hint="eastAsia" w:ascii="Arial" w:hAnsi="Arial" w:cs="Arial"/>
        </w:rPr>
        <w:t>甲</w:t>
      </w:r>
      <w:r>
        <w:rPr>
          <w:rFonts w:ascii="Arial" w:hAnsi="Arial" w:cs="Arial"/>
        </w:rPr>
        <w:t>方名称）（印章）</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r>
        <w:rPr>
          <w:rFonts w:hint="eastAsia" w:ascii="Arial" w:hAnsi="Arial" w:cs="Arial"/>
        </w:rPr>
        <w:t>乙</w:t>
      </w:r>
      <w:r>
        <w:rPr>
          <w:rFonts w:ascii="Arial" w:hAnsi="Arial" w:cs="Arial"/>
        </w:rPr>
        <w:t>方名称）（印章）</w:t>
      </w:r>
    </w:p>
    <w:p>
      <w:pPr>
        <w:spacing w:line="360" w:lineRule="auto"/>
        <w:rPr>
          <w:rFonts w:ascii="Arial" w:hAnsi="Arial" w:cs="Arial"/>
        </w:rPr>
      </w:pPr>
    </w:p>
    <w:p>
      <w:pPr>
        <w:spacing w:line="360" w:lineRule="auto"/>
        <w:rPr>
          <w:rFonts w:ascii="Arial" w:hAnsi="Arial" w:cs="Arial"/>
        </w:rPr>
      </w:pPr>
      <w:r>
        <w:rPr>
          <w:rFonts w:ascii="Arial" w:hAnsi="Arial" w:cs="Arial"/>
        </w:rPr>
        <w:t>全权代表（签字）：</w:t>
      </w:r>
      <w:r>
        <w:rPr>
          <w:rFonts w:hint="eastAsia" w:ascii="Arial" w:hAnsi="Arial" w:cs="Arial"/>
          <w:u w:val="single"/>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全权代表（签字）：</w:t>
      </w:r>
      <w:r>
        <w:rPr>
          <w:rFonts w:hint="eastAsia" w:ascii="Arial" w:hAnsi="Arial" w:cs="Arial"/>
          <w:u w:val="single"/>
        </w:rPr>
        <w:t xml:space="preserve">             </w:t>
      </w:r>
      <w:r>
        <w:rPr>
          <w:rFonts w:ascii="Arial" w:hAnsi="Arial" w:cs="Arial"/>
        </w:rPr>
        <w:t xml:space="preserve">  </w:t>
      </w:r>
    </w:p>
    <w:p>
      <w:pPr>
        <w:spacing w:line="360" w:lineRule="auto"/>
        <w:rPr>
          <w:rFonts w:ascii="Arial" w:hAnsi="Arial" w:cs="Arial"/>
          <w:u w:val="single"/>
        </w:rPr>
      </w:pPr>
      <w:r>
        <w:rPr>
          <w:rFonts w:ascii="Arial" w:hAnsi="Arial" w:cs="Arial"/>
        </w:rPr>
        <w:t>日期：</w:t>
      </w:r>
      <w:r>
        <w:rPr>
          <w:rFonts w:ascii="Arial" w:hAnsi="Arial" w:cs="Arial"/>
          <w:u w:val="single"/>
        </w:rPr>
        <w:t>年</w:t>
      </w:r>
      <w:r>
        <w:rPr>
          <w:rFonts w:hint="eastAsia" w:ascii="Arial" w:hAnsi="Arial" w:cs="Arial"/>
          <w:u w:val="single"/>
        </w:rPr>
        <w:t xml:space="preserve">  </w:t>
      </w:r>
      <w:r>
        <w:rPr>
          <w:rFonts w:ascii="Arial" w:hAnsi="Arial" w:cs="Arial"/>
          <w:u w:val="single"/>
        </w:rPr>
        <w:t>月</w:t>
      </w:r>
      <w:r>
        <w:rPr>
          <w:rFonts w:hint="eastAsia" w:ascii="Arial" w:hAnsi="Arial" w:cs="Arial"/>
          <w:u w:val="single"/>
        </w:rPr>
        <w:t xml:space="preserve">  </w:t>
      </w:r>
      <w:r>
        <w:rPr>
          <w:rFonts w:ascii="Arial" w:hAnsi="Arial" w:cs="Arial"/>
          <w:u w:val="single"/>
        </w:rPr>
        <w:t>日</w:t>
      </w:r>
      <w:r>
        <w:rPr>
          <w:rFonts w:ascii="Arial" w:hAnsi="Arial" w:cs="Arial"/>
        </w:rPr>
        <w:tab/>
      </w:r>
      <w:r>
        <w:rPr>
          <w:rFonts w:ascii="Arial" w:hAnsi="Arial" w:cs="Arial"/>
        </w:rPr>
        <w:tab/>
      </w:r>
      <w:r>
        <w:rPr>
          <w:rFonts w:ascii="Arial" w:hAnsi="Arial" w:cs="Arial"/>
        </w:rPr>
        <w:tab/>
      </w:r>
      <w:r>
        <w:rPr>
          <w:rFonts w:ascii="Arial" w:hAnsi="Arial" w:cs="Arial"/>
        </w:rPr>
        <w:tab/>
      </w:r>
      <w:r>
        <w:rPr>
          <w:rFonts w:hint="eastAsia" w:ascii="Arial" w:hAnsi="Arial" w:cs="Arial"/>
        </w:rPr>
        <w:t xml:space="preserve">                  </w:t>
      </w:r>
      <w:r>
        <w:rPr>
          <w:rFonts w:ascii="Arial" w:hAnsi="Arial" w:cs="Arial"/>
        </w:rPr>
        <w:t>日期：</w:t>
      </w:r>
      <w:r>
        <w:rPr>
          <w:rFonts w:ascii="Arial" w:hAnsi="Arial" w:cs="Arial"/>
          <w:u w:val="single"/>
        </w:rPr>
        <w:t>年</w:t>
      </w:r>
      <w:r>
        <w:rPr>
          <w:rFonts w:hint="eastAsia" w:ascii="Arial" w:hAnsi="Arial" w:cs="Arial"/>
          <w:u w:val="single"/>
        </w:rPr>
        <w:t xml:space="preserve">  </w:t>
      </w:r>
      <w:r>
        <w:rPr>
          <w:rFonts w:ascii="Arial" w:hAnsi="Arial" w:cs="Arial"/>
          <w:u w:val="single"/>
        </w:rPr>
        <w:t>月</w:t>
      </w:r>
      <w:r>
        <w:rPr>
          <w:rFonts w:hint="eastAsia" w:ascii="Arial" w:hAnsi="Arial" w:cs="Arial"/>
          <w:u w:val="single"/>
        </w:rPr>
        <w:t xml:space="preserve">  </w:t>
      </w:r>
      <w:r>
        <w:rPr>
          <w:rFonts w:ascii="Arial" w:hAnsi="Arial" w:cs="Arial"/>
          <w:u w:val="single"/>
        </w:rPr>
        <w:t>日</w:t>
      </w:r>
    </w:p>
    <w:p>
      <w:pPr>
        <w:spacing w:line="360" w:lineRule="auto"/>
        <w:rPr>
          <w:rFonts w:ascii="Arial" w:hAnsi="Arial" w:cs="Arial"/>
          <w:u w:val="single"/>
        </w:rPr>
      </w:pPr>
      <w:r>
        <w:rPr>
          <w:rFonts w:ascii="Arial" w:hAnsi="Arial" w:cs="Arial"/>
        </w:rPr>
        <w:t>地址：</w:t>
      </w:r>
      <w:r>
        <w:rPr>
          <w:rFonts w:hint="eastAsia" w:ascii="Arial" w:hAnsi="Arial" w:cs="Arial"/>
          <w:u w:val="single"/>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地址：</w:t>
      </w:r>
      <w:r>
        <w:rPr>
          <w:rFonts w:hint="eastAsia" w:ascii="Arial" w:hAnsi="Arial" w:cs="Arial"/>
          <w:u w:val="single"/>
        </w:rPr>
        <w:t xml:space="preserve">                         </w:t>
      </w:r>
      <w:r>
        <w:rPr>
          <w:rFonts w:ascii="Arial" w:hAnsi="Arial" w:cs="Arial"/>
        </w:rPr>
        <w:tab/>
      </w:r>
    </w:p>
    <w:p>
      <w:pPr>
        <w:spacing w:line="360" w:lineRule="auto"/>
        <w:rPr>
          <w:rFonts w:ascii="Arial" w:hAnsi="Arial" w:cs="Arial"/>
        </w:rPr>
      </w:pPr>
      <w:r>
        <w:rPr>
          <w:rFonts w:ascii="Arial" w:hAnsi="Arial" w:cs="Arial"/>
        </w:rPr>
        <w:t>邮政编码：</w:t>
      </w:r>
      <w:r>
        <w:rPr>
          <w:rFonts w:hint="eastAsia" w:ascii="Arial" w:hAnsi="Arial" w:cs="Arial"/>
          <w:u w:val="single"/>
        </w:rPr>
        <w:t xml:space="preserve">                     </w:t>
      </w:r>
      <w:r>
        <w:rPr>
          <w:rFonts w:ascii="Arial" w:hAnsi="Arial" w:cs="Arial"/>
        </w:rPr>
        <w:tab/>
      </w:r>
      <w:r>
        <w:rPr>
          <w:rFonts w:ascii="Arial" w:hAnsi="Arial" w:cs="Arial"/>
        </w:rPr>
        <w:tab/>
      </w:r>
      <w:r>
        <w:rPr>
          <w:rFonts w:hint="eastAsia" w:ascii="Arial" w:hAnsi="Arial" w:cs="Arial"/>
        </w:rPr>
        <w:t xml:space="preserve">    </w:t>
      </w:r>
      <w:r>
        <w:rPr>
          <w:rFonts w:ascii="Arial" w:hAnsi="Arial" w:cs="Arial"/>
        </w:rPr>
        <w:tab/>
      </w:r>
      <w:r>
        <w:rPr>
          <w:rFonts w:ascii="Arial" w:hAnsi="Arial" w:cs="Arial"/>
        </w:rPr>
        <w:t>邮政编码：</w:t>
      </w:r>
      <w:r>
        <w:rPr>
          <w:rFonts w:hint="eastAsia" w:ascii="Arial" w:hAnsi="Arial" w:cs="Arial"/>
          <w:u w:val="single"/>
        </w:rPr>
        <w:t xml:space="preserve">                     </w:t>
      </w:r>
    </w:p>
    <w:p>
      <w:pPr>
        <w:tabs>
          <w:tab w:val="left" w:pos="4305"/>
        </w:tabs>
        <w:spacing w:line="360" w:lineRule="auto"/>
        <w:rPr>
          <w:rFonts w:ascii="Arial" w:hAnsi="Arial" w:cs="Arial"/>
        </w:rPr>
      </w:pPr>
      <w:r>
        <w:rPr>
          <w:rFonts w:ascii="Arial" w:hAnsi="Arial" w:cs="Arial"/>
        </w:rPr>
        <w:t>电话：</w:t>
      </w:r>
      <w:r>
        <w:rPr>
          <w:rFonts w:hint="eastAsia" w:ascii="Arial" w:hAnsi="Arial" w:cs="Arial"/>
          <w:u w:val="single"/>
        </w:rPr>
        <w:t xml:space="preserve">                         </w:t>
      </w:r>
      <w:r>
        <w:rPr>
          <w:rFonts w:ascii="Arial" w:hAnsi="Arial" w:cs="Arial"/>
        </w:rPr>
        <w:tab/>
      </w:r>
      <w:r>
        <w:rPr>
          <w:rFonts w:ascii="Arial" w:hAnsi="Arial" w:cs="Arial"/>
        </w:rPr>
        <w:tab/>
      </w:r>
      <w:r>
        <w:rPr>
          <w:rFonts w:ascii="Arial" w:hAnsi="Arial" w:cs="Arial"/>
        </w:rPr>
        <w:tab/>
      </w:r>
      <w:r>
        <w:rPr>
          <w:rFonts w:ascii="Arial" w:hAnsi="Arial" w:cs="Arial"/>
        </w:rPr>
        <w:t>电话：</w:t>
      </w:r>
      <w:r>
        <w:rPr>
          <w:rFonts w:hint="eastAsia" w:ascii="Arial" w:hAnsi="Arial" w:cs="Arial"/>
          <w:u w:val="single"/>
        </w:rPr>
        <w:t xml:space="preserve">                         </w:t>
      </w:r>
      <w:r>
        <w:rPr>
          <w:rFonts w:ascii="Arial" w:hAnsi="Arial" w:cs="Arial"/>
        </w:rPr>
        <w:tab/>
      </w:r>
    </w:p>
    <w:p>
      <w:pPr>
        <w:spacing w:line="360" w:lineRule="auto"/>
        <w:rPr>
          <w:rFonts w:ascii="Arial" w:hAnsi="Arial" w:cs="Arial"/>
        </w:rPr>
      </w:pPr>
      <w:r>
        <w:rPr>
          <w:rFonts w:ascii="Arial" w:hAnsi="Arial" w:cs="Arial"/>
        </w:rPr>
        <w:t>开户银行：</w:t>
      </w:r>
      <w:r>
        <w:rPr>
          <w:rFonts w:hint="eastAsia" w:ascii="Arial" w:hAnsi="Arial" w:cs="Arial"/>
          <w:u w:val="single"/>
        </w:rPr>
        <w:t xml:space="preserve">                     </w:t>
      </w:r>
      <w:r>
        <w:rPr>
          <w:rFonts w:ascii="Arial" w:hAnsi="Arial" w:cs="Arial"/>
        </w:rPr>
        <w:tab/>
      </w:r>
      <w:r>
        <w:rPr>
          <w:rFonts w:ascii="Arial" w:hAnsi="Arial" w:cs="Arial"/>
        </w:rPr>
        <w:tab/>
      </w:r>
      <w:r>
        <w:rPr>
          <w:rFonts w:ascii="Arial" w:hAnsi="Arial" w:cs="Arial"/>
        </w:rPr>
        <w:tab/>
      </w:r>
      <w:r>
        <w:rPr>
          <w:rFonts w:hint="eastAsia" w:ascii="Arial" w:hAnsi="Arial" w:cs="Arial"/>
        </w:rPr>
        <w:t xml:space="preserve">    </w:t>
      </w:r>
      <w:r>
        <w:rPr>
          <w:rFonts w:ascii="Arial" w:hAnsi="Arial" w:cs="Arial"/>
        </w:rPr>
        <w:t>开户银行：</w:t>
      </w:r>
      <w:r>
        <w:rPr>
          <w:rFonts w:hint="eastAsia" w:ascii="Arial" w:hAnsi="Arial" w:cs="Arial"/>
          <w:u w:val="single"/>
        </w:rPr>
        <w:t xml:space="preserve">                     </w:t>
      </w:r>
    </w:p>
    <w:p>
      <w:pPr>
        <w:spacing w:line="360" w:lineRule="auto"/>
      </w:pPr>
      <w:r>
        <w:rPr>
          <w:rFonts w:ascii="Arial" w:hAnsi="Arial" w:cs="Arial"/>
        </w:rPr>
        <w:t>账户：</w:t>
      </w:r>
      <w:r>
        <w:rPr>
          <w:rFonts w:hint="eastAsia" w:ascii="Arial" w:hAnsi="Arial" w:cs="Arial"/>
          <w:u w:val="single"/>
        </w:rPr>
        <w:t xml:space="preserve">                        </w:t>
      </w:r>
      <w:r>
        <w:rPr>
          <w:rFonts w:hint="eastAsia" w:ascii="Arial" w:hAnsi="Arial" w:cs="Arial"/>
        </w:rPr>
        <w:t xml:space="preserve">  </w:t>
      </w:r>
      <w:r>
        <w:rPr>
          <w:rFonts w:ascii="Arial" w:hAnsi="Arial" w:cs="Arial"/>
        </w:rPr>
        <w:tab/>
      </w:r>
      <w:r>
        <w:rPr>
          <w:rFonts w:ascii="Arial" w:hAnsi="Arial" w:cs="Arial"/>
        </w:rPr>
        <w:tab/>
      </w:r>
      <w:r>
        <w:rPr>
          <w:rFonts w:ascii="Arial" w:hAnsi="Arial" w:cs="Arial"/>
        </w:rPr>
        <w:tab/>
      </w:r>
      <w:r>
        <w:rPr>
          <w:rFonts w:hint="eastAsia" w:ascii="Arial" w:hAnsi="Arial" w:cs="Arial"/>
        </w:rPr>
        <w:t xml:space="preserve"> </w:t>
      </w:r>
      <w:r>
        <w:rPr>
          <w:rFonts w:ascii="Arial" w:hAnsi="Arial" w:cs="Arial"/>
        </w:rPr>
        <w:t>账户：</w:t>
      </w:r>
      <w:r>
        <w:rPr>
          <w:rFonts w:hint="eastAsia" w:ascii="Arial" w:hAnsi="Arial" w:cs="Arial"/>
          <w:u w:val="single"/>
        </w:rPr>
        <w:t xml:space="preserve">                        </w:t>
      </w:r>
      <w:r>
        <w:rPr>
          <w:rFonts w:ascii="Arial" w:hAnsi="Arial" w:cs="Arial"/>
        </w:rPr>
        <w:tab/>
      </w:r>
    </w:p>
    <w:sectPr>
      <w:pgSz w:w="11906" w:h="16838"/>
      <w:pgMar w:top="1247" w:right="1247" w:bottom="1247" w:left="1247" w:header="851" w:footer="863" w:gutter="0"/>
      <w:pgNumType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multilevel"/>
    <w:tmpl w:val="0000002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51"/>
    <w:multiLevelType w:val="singleLevel"/>
    <w:tmpl w:val="00000051"/>
    <w:lvl w:ilvl="0" w:tentative="0">
      <w:start w:val="1"/>
      <w:numFmt w:val="decimal"/>
      <w:pStyle w:val="10"/>
      <w:lvlText w:val="%1."/>
      <w:lvlJc w:val="left"/>
      <w:pPr>
        <w:tabs>
          <w:tab w:val="left" w:pos="482"/>
        </w:tabs>
        <w:ind w:left="0" w:firstLine="0"/>
      </w:pPr>
      <w:rPr>
        <w:rFonts w:hint="default" w:ascii="Arial" w:hAnsi="Arial"/>
        <w:b w:val="0"/>
        <w:i w:val="0"/>
        <w:sz w:val="24"/>
      </w:rPr>
    </w:lvl>
  </w:abstractNum>
  <w:abstractNum w:abstractNumId="2">
    <w:nsid w:val="0E230849"/>
    <w:multiLevelType w:val="multilevel"/>
    <w:tmpl w:val="0E230849"/>
    <w:lvl w:ilvl="0" w:tentative="0">
      <w:start w:val="1"/>
      <w:numFmt w:val="decimal"/>
      <w:pStyle w:val="41"/>
      <w:lvlText w:val="%1"/>
      <w:lvlJc w:val="left"/>
      <w:pPr>
        <w:ind w:left="680" w:hanging="680"/>
      </w:pPr>
      <w:rPr>
        <w:rFonts w:hint="eastAsia" w:asciiTheme="minorEastAsia" w:hAnsiTheme="minorEastAsia" w:eastAsiaTheme="minorEastAsia"/>
        <w:color w:val="auto"/>
      </w:rPr>
    </w:lvl>
    <w:lvl w:ilvl="1" w:tentative="0">
      <w:start w:val="1"/>
      <w:numFmt w:val="decimal"/>
      <w:pStyle w:val="42"/>
      <w:lvlText w:val="%1.%2"/>
      <w:lvlJc w:val="left"/>
      <w:pPr>
        <w:ind w:left="680" w:hanging="680"/>
      </w:pPr>
      <w:rPr>
        <w:rFonts w:hint="eastAsia" w:asciiTheme="minorEastAsia" w:hAnsiTheme="minorEastAsia" w:eastAsiaTheme="minorEastAsia"/>
        <w:color w:val="auto"/>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3">
    <w:nsid w:val="40D43A8A"/>
    <w:multiLevelType w:val="multilevel"/>
    <w:tmpl w:val="40D43A8A"/>
    <w:lvl w:ilvl="0" w:tentative="0">
      <w:start w:val="1"/>
      <w:numFmt w:val="decimal"/>
      <w:lvlText w:val="(%1)"/>
      <w:lvlJc w:val="left"/>
      <w:pPr>
        <w:tabs>
          <w:tab w:val="left" w:pos="1049"/>
        </w:tabs>
        <w:ind w:left="1049"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12748DE"/>
    <w:multiLevelType w:val="multilevel"/>
    <w:tmpl w:val="412748DE"/>
    <w:lvl w:ilvl="0" w:tentative="0">
      <w:start w:val="1"/>
      <w:numFmt w:val="decimal"/>
      <w:pStyle w:val="49"/>
      <w:lvlText w:val="%1、"/>
      <w:lvlJc w:val="left"/>
      <w:pPr>
        <w:ind w:left="420" w:hanging="420"/>
      </w:pPr>
      <w:rPr>
        <w:b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8ED55AE"/>
    <w:multiLevelType w:val="multilevel"/>
    <w:tmpl w:val="58ED55AE"/>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640A1190"/>
    <w:multiLevelType w:val="multilevel"/>
    <w:tmpl w:val="640A1190"/>
    <w:lvl w:ilvl="0" w:tentative="0">
      <w:start w:val="1"/>
      <w:numFmt w:val="decimal"/>
      <w:lvlText w:val="%1."/>
      <w:lvlJc w:val="left"/>
      <w:pPr>
        <w:tabs>
          <w:tab w:val="left" w:pos="482"/>
        </w:tabs>
        <w:ind w:left="482" w:hanging="482"/>
      </w:pPr>
      <w:rPr>
        <w:rFonts w:hint="default" w:ascii="Arial" w:hAnsi="Arial"/>
        <w:b/>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FEF60BF"/>
    <w:multiLevelType w:val="multilevel"/>
    <w:tmpl w:val="6FEF60BF"/>
    <w:lvl w:ilvl="0" w:tentative="0">
      <w:start w:val="1"/>
      <w:numFmt w:val="decimal"/>
      <w:pStyle w:val="48"/>
      <w:lvlText w:val="1-%1、"/>
      <w:lvlJc w:val="left"/>
      <w:pPr>
        <w:ind w:left="-289" w:hanging="420"/>
      </w:pPr>
      <w:rPr>
        <w:rFonts w:hint="eastAsia" w:eastAsia="宋体" w:asciiTheme="minorEastAsia" w:hAnsiTheme="minorEastAsia"/>
      </w:rPr>
    </w:lvl>
    <w:lvl w:ilvl="1" w:tentative="0">
      <w:start w:val="1"/>
      <w:numFmt w:val="lowerLetter"/>
      <w:lvlText w:val="%2)"/>
      <w:lvlJc w:val="left"/>
      <w:pPr>
        <w:ind w:left="131" w:hanging="420"/>
      </w:pPr>
    </w:lvl>
    <w:lvl w:ilvl="2" w:tentative="0">
      <w:start w:val="1"/>
      <w:numFmt w:val="lowerRoman"/>
      <w:lvlText w:val="%3."/>
      <w:lvlJc w:val="right"/>
      <w:pPr>
        <w:ind w:left="551" w:hanging="420"/>
      </w:pPr>
    </w:lvl>
    <w:lvl w:ilvl="3" w:tentative="0">
      <w:start w:val="1"/>
      <w:numFmt w:val="decimal"/>
      <w:lvlText w:val="%4."/>
      <w:lvlJc w:val="left"/>
      <w:pPr>
        <w:ind w:left="971" w:hanging="420"/>
      </w:pPr>
    </w:lvl>
    <w:lvl w:ilvl="4" w:tentative="0">
      <w:start w:val="1"/>
      <w:numFmt w:val="lowerLetter"/>
      <w:lvlText w:val="%5)"/>
      <w:lvlJc w:val="left"/>
      <w:pPr>
        <w:ind w:left="1391" w:hanging="420"/>
      </w:pPr>
    </w:lvl>
    <w:lvl w:ilvl="5" w:tentative="0">
      <w:start w:val="1"/>
      <w:numFmt w:val="lowerRoman"/>
      <w:lvlText w:val="%6."/>
      <w:lvlJc w:val="right"/>
      <w:pPr>
        <w:ind w:left="1811" w:hanging="420"/>
      </w:pPr>
    </w:lvl>
    <w:lvl w:ilvl="6" w:tentative="0">
      <w:start w:val="1"/>
      <w:numFmt w:val="decimal"/>
      <w:lvlText w:val="%7."/>
      <w:lvlJc w:val="left"/>
      <w:pPr>
        <w:ind w:left="2231" w:hanging="420"/>
      </w:pPr>
    </w:lvl>
    <w:lvl w:ilvl="7" w:tentative="0">
      <w:start w:val="1"/>
      <w:numFmt w:val="lowerLetter"/>
      <w:lvlText w:val="%8)"/>
      <w:lvlJc w:val="left"/>
      <w:pPr>
        <w:ind w:left="2651" w:hanging="420"/>
      </w:pPr>
    </w:lvl>
    <w:lvl w:ilvl="8" w:tentative="0">
      <w:start w:val="1"/>
      <w:numFmt w:val="lowerRoman"/>
      <w:lvlText w:val="%9."/>
      <w:lvlJc w:val="right"/>
      <w:pPr>
        <w:ind w:left="3071" w:hanging="420"/>
      </w:pPr>
    </w:lvl>
  </w:abstractNum>
  <w:abstractNum w:abstractNumId="8">
    <w:nsid w:val="75895E16"/>
    <w:multiLevelType w:val="multilevel"/>
    <w:tmpl w:val="75895E16"/>
    <w:lvl w:ilvl="0" w:tentative="0">
      <w:start w:val="1"/>
      <w:numFmt w:val="decimal"/>
      <w:pStyle w:val="74"/>
      <w:lvlText w:val="*%1."/>
      <w:lvlJc w:val="left"/>
      <w:pPr>
        <w:ind w:left="420" w:hanging="420"/>
      </w:pPr>
      <w:rPr>
        <w:rFonts w:hint="eastAsia"/>
        <w:b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6D3462B"/>
    <w:multiLevelType w:val="multilevel"/>
    <w:tmpl w:val="76D3462B"/>
    <w:lvl w:ilvl="0" w:tentative="0">
      <w:start w:val="1"/>
      <w:numFmt w:val="chineseCountingThousand"/>
      <w:pStyle w:val="31"/>
      <w:lvlText w:val="%1、"/>
      <w:lvlJc w:val="left"/>
      <w:pPr>
        <w:ind w:left="425" w:hanging="425"/>
      </w:pPr>
      <w:rPr>
        <w:rFonts w:hint="eastAsia"/>
        <w:lang w:val="en-US"/>
      </w:rPr>
    </w:lvl>
    <w:lvl w:ilvl="1" w:tentative="0">
      <w:start w:val="1"/>
      <w:numFmt w:val="decimal"/>
      <w:pStyle w:val="29"/>
      <w:isLgl/>
      <w:lvlText w:val="%1.%2"/>
      <w:lvlJc w:val="left"/>
      <w:pPr>
        <w:ind w:left="992" w:hanging="567"/>
      </w:pPr>
      <w:rPr>
        <w:rFonts w:hint="eastAsia"/>
      </w:rPr>
    </w:lvl>
    <w:lvl w:ilvl="2" w:tentative="0">
      <w:start w:val="1"/>
      <w:numFmt w:val="decimal"/>
      <w:pStyle w:val="33"/>
      <w:isLgl/>
      <w:lvlText w:val="%1.%2.%3"/>
      <w:lvlJc w:val="left"/>
      <w:pPr>
        <w:ind w:left="1418" w:hanging="567"/>
      </w:pPr>
      <w:rPr>
        <w:rFonts w:hint="eastAsia"/>
      </w:rPr>
    </w:lvl>
    <w:lvl w:ilvl="3" w:tentative="0">
      <w:start w:val="1"/>
      <w:numFmt w:val="decimal"/>
      <w:pStyle w:val="32"/>
      <w:isLgl/>
      <w:lvlText w:val="%1.%2.%3.%4"/>
      <w:lvlJc w:val="left"/>
      <w:pPr>
        <w:ind w:left="1984" w:hanging="708"/>
      </w:pPr>
      <w:rPr>
        <w:rFonts w:hint="eastAsia" w:ascii="宋体" w:eastAsia="宋体"/>
        <w:b/>
        <w:i w:val="0"/>
        <w:sz w:val="24"/>
      </w:rPr>
    </w:lvl>
    <w:lvl w:ilvl="4" w:tentative="0">
      <w:start w:val="1"/>
      <w:numFmt w:val="decimal"/>
      <w:pStyle w:val="30"/>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7B843E43"/>
    <w:multiLevelType w:val="singleLevel"/>
    <w:tmpl w:val="7B843E43"/>
    <w:lvl w:ilvl="0" w:tentative="0">
      <w:start w:val="1"/>
      <w:numFmt w:val="decimal"/>
      <w:pStyle w:val="71"/>
      <w:lvlText w:val="%1."/>
      <w:lvlJc w:val="left"/>
      <w:pPr>
        <w:tabs>
          <w:tab w:val="left" w:pos="482"/>
        </w:tabs>
        <w:ind w:left="510" w:hanging="510"/>
      </w:pPr>
      <w:rPr>
        <w:rFonts w:hint="default" w:ascii="Arial" w:hAnsi="Arial"/>
        <w:b w:val="0"/>
        <w:i w:val="0"/>
        <w:sz w:val="24"/>
        <w:szCs w:val="24"/>
      </w:rPr>
    </w:lvl>
  </w:abstractNum>
  <w:num w:numId="1">
    <w:abstractNumId w:val="1"/>
  </w:num>
  <w:num w:numId="2">
    <w:abstractNumId w:val="9"/>
  </w:num>
  <w:num w:numId="3">
    <w:abstractNumId w:val="2"/>
  </w:num>
  <w:num w:numId="4">
    <w:abstractNumId w:val="7"/>
  </w:num>
  <w:num w:numId="5">
    <w:abstractNumId w:val="4"/>
  </w:num>
  <w:num w:numId="6">
    <w:abstractNumId w:val="10"/>
  </w:num>
  <w:num w:numId="7">
    <w:abstractNumId w:val="8"/>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A2"/>
    <w:rsid w:val="00000F3C"/>
    <w:rsid w:val="000018F2"/>
    <w:rsid w:val="000025BC"/>
    <w:rsid w:val="00002FE4"/>
    <w:rsid w:val="000035CC"/>
    <w:rsid w:val="0000399E"/>
    <w:rsid w:val="00003C3A"/>
    <w:rsid w:val="00003E19"/>
    <w:rsid w:val="000047E4"/>
    <w:rsid w:val="000055E3"/>
    <w:rsid w:val="00011124"/>
    <w:rsid w:val="0001353C"/>
    <w:rsid w:val="00014189"/>
    <w:rsid w:val="000173CB"/>
    <w:rsid w:val="00017628"/>
    <w:rsid w:val="000204A8"/>
    <w:rsid w:val="00020DF0"/>
    <w:rsid w:val="00021216"/>
    <w:rsid w:val="00021CB4"/>
    <w:rsid w:val="00022251"/>
    <w:rsid w:val="00022B59"/>
    <w:rsid w:val="00022E57"/>
    <w:rsid w:val="000233D3"/>
    <w:rsid w:val="0002387C"/>
    <w:rsid w:val="00026D1C"/>
    <w:rsid w:val="00027FFA"/>
    <w:rsid w:val="000304B0"/>
    <w:rsid w:val="00031633"/>
    <w:rsid w:val="000328B1"/>
    <w:rsid w:val="00033173"/>
    <w:rsid w:val="00034119"/>
    <w:rsid w:val="00034769"/>
    <w:rsid w:val="000353AD"/>
    <w:rsid w:val="000415BF"/>
    <w:rsid w:val="00041FE6"/>
    <w:rsid w:val="00043B93"/>
    <w:rsid w:val="000445F0"/>
    <w:rsid w:val="00045385"/>
    <w:rsid w:val="00046998"/>
    <w:rsid w:val="00047B6C"/>
    <w:rsid w:val="000512F6"/>
    <w:rsid w:val="000527B9"/>
    <w:rsid w:val="00052E91"/>
    <w:rsid w:val="00053382"/>
    <w:rsid w:val="00053426"/>
    <w:rsid w:val="00053881"/>
    <w:rsid w:val="0005583E"/>
    <w:rsid w:val="0005596B"/>
    <w:rsid w:val="000570A8"/>
    <w:rsid w:val="0006074E"/>
    <w:rsid w:val="00060C61"/>
    <w:rsid w:val="00061D6F"/>
    <w:rsid w:val="00062CAA"/>
    <w:rsid w:val="000635A5"/>
    <w:rsid w:val="00063ECF"/>
    <w:rsid w:val="0006581D"/>
    <w:rsid w:val="0006628A"/>
    <w:rsid w:val="00066377"/>
    <w:rsid w:val="000675BF"/>
    <w:rsid w:val="00070365"/>
    <w:rsid w:val="00070A75"/>
    <w:rsid w:val="00070B2B"/>
    <w:rsid w:val="00070C13"/>
    <w:rsid w:val="00071106"/>
    <w:rsid w:val="00071E3C"/>
    <w:rsid w:val="00072D45"/>
    <w:rsid w:val="00073A17"/>
    <w:rsid w:val="00073A20"/>
    <w:rsid w:val="00074504"/>
    <w:rsid w:val="000809D7"/>
    <w:rsid w:val="0008317E"/>
    <w:rsid w:val="00084AE9"/>
    <w:rsid w:val="00084D95"/>
    <w:rsid w:val="000856E2"/>
    <w:rsid w:val="0008586F"/>
    <w:rsid w:val="00086D01"/>
    <w:rsid w:val="00086E20"/>
    <w:rsid w:val="00093D06"/>
    <w:rsid w:val="000940FE"/>
    <w:rsid w:val="00095380"/>
    <w:rsid w:val="0009765C"/>
    <w:rsid w:val="000979BB"/>
    <w:rsid w:val="000A0C26"/>
    <w:rsid w:val="000A1140"/>
    <w:rsid w:val="000A256E"/>
    <w:rsid w:val="000A26C9"/>
    <w:rsid w:val="000A401F"/>
    <w:rsid w:val="000A586A"/>
    <w:rsid w:val="000A632E"/>
    <w:rsid w:val="000A67CC"/>
    <w:rsid w:val="000A6D2F"/>
    <w:rsid w:val="000A75BD"/>
    <w:rsid w:val="000A7EF8"/>
    <w:rsid w:val="000B2E09"/>
    <w:rsid w:val="000B588A"/>
    <w:rsid w:val="000B643A"/>
    <w:rsid w:val="000B70AD"/>
    <w:rsid w:val="000C1A55"/>
    <w:rsid w:val="000C3A02"/>
    <w:rsid w:val="000C4235"/>
    <w:rsid w:val="000C7061"/>
    <w:rsid w:val="000D0353"/>
    <w:rsid w:val="000D1D1E"/>
    <w:rsid w:val="000D3D02"/>
    <w:rsid w:val="000D3E6E"/>
    <w:rsid w:val="000D612C"/>
    <w:rsid w:val="000D6A00"/>
    <w:rsid w:val="000E046A"/>
    <w:rsid w:val="000E192A"/>
    <w:rsid w:val="000E3175"/>
    <w:rsid w:val="000E39FA"/>
    <w:rsid w:val="000E5286"/>
    <w:rsid w:val="000E58B2"/>
    <w:rsid w:val="000F040D"/>
    <w:rsid w:val="000F0DD7"/>
    <w:rsid w:val="000F1D8B"/>
    <w:rsid w:val="000F27B9"/>
    <w:rsid w:val="000F2A52"/>
    <w:rsid w:val="000F5AE1"/>
    <w:rsid w:val="000F6404"/>
    <w:rsid w:val="000F7292"/>
    <w:rsid w:val="001017C1"/>
    <w:rsid w:val="00102894"/>
    <w:rsid w:val="00103D30"/>
    <w:rsid w:val="00104330"/>
    <w:rsid w:val="001044E6"/>
    <w:rsid w:val="00112044"/>
    <w:rsid w:val="00112456"/>
    <w:rsid w:val="00112492"/>
    <w:rsid w:val="00112D90"/>
    <w:rsid w:val="00113B22"/>
    <w:rsid w:val="00114F7E"/>
    <w:rsid w:val="0011791A"/>
    <w:rsid w:val="00121E7B"/>
    <w:rsid w:val="001224FA"/>
    <w:rsid w:val="00125D76"/>
    <w:rsid w:val="00126CB2"/>
    <w:rsid w:val="00126E7D"/>
    <w:rsid w:val="00130ECB"/>
    <w:rsid w:val="0013208E"/>
    <w:rsid w:val="00135E12"/>
    <w:rsid w:val="001378E5"/>
    <w:rsid w:val="0013794D"/>
    <w:rsid w:val="00140515"/>
    <w:rsid w:val="00140F48"/>
    <w:rsid w:val="001426A7"/>
    <w:rsid w:val="00143568"/>
    <w:rsid w:val="00144CB3"/>
    <w:rsid w:val="001459F7"/>
    <w:rsid w:val="00145C72"/>
    <w:rsid w:val="001511F3"/>
    <w:rsid w:val="0015217F"/>
    <w:rsid w:val="0015319A"/>
    <w:rsid w:val="0015524E"/>
    <w:rsid w:val="00155514"/>
    <w:rsid w:val="00156E1F"/>
    <w:rsid w:val="0016017E"/>
    <w:rsid w:val="00162160"/>
    <w:rsid w:val="00163635"/>
    <w:rsid w:val="00164063"/>
    <w:rsid w:val="001653D1"/>
    <w:rsid w:val="00165C37"/>
    <w:rsid w:val="00166781"/>
    <w:rsid w:val="00166F43"/>
    <w:rsid w:val="00167DA6"/>
    <w:rsid w:val="00171360"/>
    <w:rsid w:val="00171CAA"/>
    <w:rsid w:val="00173F44"/>
    <w:rsid w:val="00177777"/>
    <w:rsid w:val="00177AF3"/>
    <w:rsid w:val="001802E5"/>
    <w:rsid w:val="00180801"/>
    <w:rsid w:val="00180F58"/>
    <w:rsid w:val="0018297E"/>
    <w:rsid w:val="00182EF1"/>
    <w:rsid w:val="00185199"/>
    <w:rsid w:val="00190070"/>
    <w:rsid w:val="001902EB"/>
    <w:rsid w:val="00193AE1"/>
    <w:rsid w:val="00193D2B"/>
    <w:rsid w:val="00194820"/>
    <w:rsid w:val="00196F39"/>
    <w:rsid w:val="001A0761"/>
    <w:rsid w:val="001A0882"/>
    <w:rsid w:val="001A0BFA"/>
    <w:rsid w:val="001A1027"/>
    <w:rsid w:val="001A2B7F"/>
    <w:rsid w:val="001A4BBD"/>
    <w:rsid w:val="001A78E4"/>
    <w:rsid w:val="001A7A6D"/>
    <w:rsid w:val="001B084B"/>
    <w:rsid w:val="001B0C9E"/>
    <w:rsid w:val="001B2141"/>
    <w:rsid w:val="001B3A2B"/>
    <w:rsid w:val="001B3A47"/>
    <w:rsid w:val="001B6150"/>
    <w:rsid w:val="001B63CC"/>
    <w:rsid w:val="001C1BD1"/>
    <w:rsid w:val="001C29D6"/>
    <w:rsid w:val="001C2A22"/>
    <w:rsid w:val="001C3207"/>
    <w:rsid w:val="001C329A"/>
    <w:rsid w:val="001C45A6"/>
    <w:rsid w:val="001C5099"/>
    <w:rsid w:val="001C60E0"/>
    <w:rsid w:val="001C63D7"/>
    <w:rsid w:val="001C7031"/>
    <w:rsid w:val="001C7A46"/>
    <w:rsid w:val="001D0D9E"/>
    <w:rsid w:val="001D0FE4"/>
    <w:rsid w:val="001D18C9"/>
    <w:rsid w:val="001D20B3"/>
    <w:rsid w:val="001D2832"/>
    <w:rsid w:val="001D2A6B"/>
    <w:rsid w:val="001D58EB"/>
    <w:rsid w:val="001D67C4"/>
    <w:rsid w:val="001D7E54"/>
    <w:rsid w:val="001E11AA"/>
    <w:rsid w:val="001E1DF0"/>
    <w:rsid w:val="001E3555"/>
    <w:rsid w:val="001E5429"/>
    <w:rsid w:val="001E6273"/>
    <w:rsid w:val="001E7768"/>
    <w:rsid w:val="001E7C59"/>
    <w:rsid w:val="001F2625"/>
    <w:rsid w:val="001F39EF"/>
    <w:rsid w:val="001F4743"/>
    <w:rsid w:val="001F6BC0"/>
    <w:rsid w:val="00200564"/>
    <w:rsid w:val="0020086F"/>
    <w:rsid w:val="00200BED"/>
    <w:rsid w:val="002036CE"/>
    <w:rsid w:val="0020385E"/>
    <w:rsid w:val="00204545"/>
    <w:rsid w:val="002046E8"/>
    <w:rsid w:val="00205EF4"/>
    <w:rsid w:val="00206085"/>
    <w:rsid w:val="00211537"/>
    <w:rsid w:val="002119BE"/>
    <w:rsid w:val="002123D8"/>
    <w:rsid w:val="00213364"/>
    <w:rsid w:val="00214082"/>
    <w:rsid w:val="0021424B"/>
    <w:rsid w:val="002148DA"/>
    <w:rsid w:val="00217857"/>
    <w:rsid w:val="0022102F"/>
    <w:rsid w:val="00222DE9"/>
    <w:rsid w:val="00223D60"/>
    <w:rsid w:val="002243ED"/>
    <w:rsid w:val="00226E17"/>
    <w:rsid w:val="00231A07"/>
    <w:rsid w:val="002339F4"/>
    <w:rsid w:val="0023421D"/>
    <w:rsid w:val="0024024D"/>
    <w:rsid w:val="002408DF"/>
    <w:rsid w:val="002414AB"/>
    <w:rsid w:val="00241E15"/>
    <w:rsid w:val="00241E70"/>
    <w:rsid w:val="002424A8"/>
    <w:rsid w:val="00243D18"/>
    <w:rsid w:val="00243F79"/>
    <w:rsid w:val="00244536"/>
    <w:rsid w:val="002449A9"/>
    <w:rsid w:val="002452EB"/>
    <w:rsid w:val="0024781E"/>
    <w:rsid w:val="0025048E"/>
    <w:rsid w:val="00250903"/>
    <w:rsid w:val="00251984"/>
    <w:rsid w:val="00251AE2"/>
    <w:rsid w:val="002535B2"/>
    <w:rsid w:val="0025521A"/>
    <w:rsid w:val="00255E6F"/>
    <w:rsid w:val="00257DB9"/>
    <w:rsid w:val="00260223"/>
    <w:rsid w:val="002605F4"/>
    <w:rsid w:val="0026170B"/>
    <w:rsid w:val="00261D13"/>
    <w:rsid w:val="002633CA"/>
    <w:rsid w:val="00264605"/>
    <w:rsid w:val="00265C27"/>
    <w:rsid w:val="00267786"/>
    <w:rsid w:val="002706EA"/>
    <w:rsid w:val="00270E0C"/>
    <w:rsid w:val="00271BFB"/>
    <w:rsid w:val="002720B1"/>
    <w:rsid w:val="002734CD"/>
    <w:rsid w:val="00274E0E"/>
    <w:rsid w:val="00275C0E"/>
    <w:rsid w:val="00276681"/>
    <w:rsid w:val="0027688E"/>
    <w:rsid w:val="00277339"/>
    <w:rsid w:val="00280B81"/>
    <w:rsid w:val="00283D7C"/>
    <w:rsid w:val="002856B6"/>
    <w:rsid w:val="002870D6"/>
    <w:rsid w:val="0028710F"/>
    <w:rsid w:val="00287F89"/>
    <w:rsid w:val="00290296"/>
    <w:rsid w:val="002920A6"/>
    <w:rsid w:val="002934E6"/>
    <w:rsid w:val="00293EA2"/>
    <w:rsid w:val="00294873"/>
    <w:rsid w:val="00294E06"/>
    <w:rsid w:val="00295861"/>
    <w:rsid w:val="002A1A69"/>
    <w:rsid w:val="002A1C5A"/>
    <w:rsid w:val="002A2C82"/>
    <w:rsid w:val="002A43EE"/>
    <w:rsid w:val="002B203D"/>
    <w:rsid w:val="002B44E3"/>
    <w:rsid w:val="002B4F3B"/>
    <w:rsid w:val="002B5CD2"/>
    <w:rsid w:val="002B6036"/>
    <w:rsid w:val="002B6772"/>
    <w:rsid w:val="002C1482"/>
    <w:rsid w:val="002C1658"/>
    <w:rsid w:val="002C2BA6"/>
    <w:rsid w:val="002C45E8"/>
    <w:rsid w:val="002C57BE"/>
    <w:rsid w:val="002C6B25"/>
    <w:rsid w:val="002C6C2C"/>
    <w:rsid w:val="002C736B"/>
    <w:rsid w:val="002D19FD"/>
    <w:rsid w:val="002D1E17"/>
    <w:rsid w:val="002D31F1"/>
    <w:rsid w:val="002D321B"/>
    <w:rsid w:val="002D7B2C"/>
    <w:rsid w:val="002E0999"/>
    <w:rsid w:val="002E173E"/>
    <w:rsid w:val="002E2730"/>
    <w:rsid w:val="002E349B"/>
    <w:rsid w:val="002E7BC4"/>
    <w:rsid w:val="002F1EC5"/>
    <w:rsid w:val="002F26E9"/>
    <w:rsid w:val="00301886"/>
    <w:rsid w:val="00302BDB"/>
    <w:rsid w:val="0030353C"/>
    <w:rsid w:val="003039DF"/>
    <w:rsid w:val="00310687"/>
    <w:rsid w:val="00310BB1"/>
    <w:rsid w:val="00316F55"/>
    <w:rsid w:val="0032458E"/>
    <w:rsid w:val="003257A1"/>
    <w:rsid w:val="00325B9D"/>
    <w:rsid w:val="003261A5"/>
    <w:rsid w:val="00326BB1"/>
    <w:rsid w:val="00327E13"/>
    <w:rsid w:val="003302C8"/>
    <w:rsid w:val="00331594"/>
    <w:rsid w:val="00332F7B"/>
    <w:rsid w:val="0033340F"/>
    <w:rsid w:val="00335879"/>
    <w:rsid w:val="00342C77"/>
    <w:rsid w:val="00342EA7"/>
    <w:rsid w:val="00343521"/>
    <w:rsid w:val="003457DB"/>
    <w:rsid w:val="0034643F"/>
    <w:rsid w:val="003470D4"/>
    <w:rsid w:val="00350A3B"/>
    <w:rsid w:val="00353850"/>
    <w:rsid w:val="00355200"/>
    <w:rsid w:val="0036174F"/>
    <w:rsid w:val="003619B0"/>
    <w:rsid w:val="00362E57"/>
    <w:rsid w:val="0036328A"/>
    <w:rsid w:val="0036336B"/>
    <w:rsid w:val="0036351F"/>
    <w:rsid w:val="00363A86"/>
    <w:rsid w:val="00364656"/>
    <w:rsid w:val="00366617"/>
    <w:rsid w:val="0037117D"/>
    <w:rsid w:val="003716E9"/>
    <w:rsid w:val="003717E4"/>
    <w:rsid w:val="0037351C"/>
    <w:rsid w:val="003749A4"/>
    <w:rsid w:val="003764A4"/>
    <w:rsid w:val="00376A83"/>
    <w:rsid w:val="003822AF"/>
    <w:rsid w:val="00382512"/>
    <w:rsid w:val="003835FC"/>
    <w:rsid w:val="00383F6F"/>
    <w:rsid w:val="00384C75"/>
    <w:rsid w:val="00385F71"/>
    <w:rsid w:val="00386463"/>
    <w:rsid w:val="00386B95"/>
    <w:rsid w:val="0038728C"/>
    <w:rsid w:val="00390C7E"/>
    <w:rsid w:val="00392658"/>
    <w:rsid w:val="00393705"/>
    <w:rsid w:val="00394712"/>
    <w:rsid w:val="00395966"/>
    <w:rsid w:val="00395D1B"/>
    <w:rsid w:val="00396DF4"/>
    <w:rsid w:val="003A14E7"/>
    <w:rsid w:val="003A2D1F"/>
    <w:rsid w:val="003A3183"/>
    <w:rsid w:val="003A3C1E"/>
    <w:rsid w:val="003A485E"/>
    <w:rsid w:val="003A57D1"/>
    <w:rsid w:val="003A5B73"/>
    <w:rsid w:val="003A67CD"/>
    <w:rsid w:val="003B03A2"/>
    <w:rsid w:val="003B1D20"/>
    <w:rsid w:val="003B3E93"/>
    <w:rsid w:val="003B78D2"/>
    <w:rsid w:val="003C0BC2"/>
    <w:rsid w:val="003C0CED"/>
    <w:rsid w:val="003C11D2"/>
    <w:rsid w:val="003C2AE6"/>
    <w:rsid w:val="003C6896"/>
    <w:rsid w:val="003D1127"/>
    <w:rsid w:val="003D1D3A"/>
    <w:rsid w:val="003D2E94"/>
    <w:rsid w:val="003D50B0"/>
    <w:rsid w:val="003D6087"/>
    <w:rsid w:val="003D79EE"/>
    <w:rsid w:val="003E14A7"/>
    <w:rsid w:val="003E4898"/>
    <w:rsid w:val="003E6093"/>
    <w:rsid w:val="003E787F"/>
    <w:rsid w:val="003E79D4"/>
    <w:rsid w:val="003E7A74"/>
    <w:rsid w:val="003F11F8"/>
    <w:rsid w:val="003F2553"/>
    <w:rsid w:val="003F36B9"/>
    <w:rsid w:val="00400FCC"/>
    <w:rsid w:val="004032B2"/>
    <w:rsid w:val="004032F2"/>
    <w:rsid w:val="00403C1F"/>
    <w:rsid w:val="00403D40"/>
    <w:rsid w:val="004061F0"/>
    <w:rsid w:val="00412E87"/>
    <w:rsid w:val="004147B3"/>
    <w:rsid w:val="00414AB3"/>
    <w:rsid w:val="00415011"/>
    <w:rsid w:val="0041544B"/>
    <w:rsid w:val="00420261"/>
    <w:rsid w:val="00421D7C"/>
    <w:rsid w:val="004228BF"/>
    <w:rsid w:val="0042329F"/>
    <w:rsid w:val="004238E9"/>
    <w:rsid w:val="004243D4"/>
    <w:rsid w:val="00425A6F"/>
    <w:rsid w:val="00425AF3"/>
    <w:rsid w:val="004263D5"/>
    <w:rsid w:val="004264E8"/>
    <w:rsid w:val="00426710"/>
    <w:rsid w:val="0042785C"/>
    <w:rsid w:val="00430675"/>
    <w:rsid w:val="00432A14"/>
    <w:rsid w:val="004338E0"/>
    <w:rsid w:val="00434083"/>
    <w:rsid w:val="00435EAC"/>
    <w:rsid w:val="00435EC5"/>
    <w:rsid w:val="00436F13"/>
    <w:rsid w:val="00436F73"/>
    <w:rsid w:val="00441B1C"/>
    <w:rsid w:val="00442E62"/>
    <w:rsid w:val="004438A3"/>
    <w:rsid w:val="004444AE"/>
    <w:rsid w:val="00444D17"/>
    <w:rsid w:val="00446667"/>
    <w:rsid w:val="004473A9"/>
    <w:rsid w:val="00447817"/>
    <w:rsid w:val="00447B55"/>
    <w:rsid w:val="0045019D"/>
    <w:rsid w:val="00450617"/>
    <w:rsid w:val="00453596"/>
    <w:rsid w:val="0045611E"/>
    <w:rsid w:val="00457530"/>
    <w:rsid w:val="00457A33"/>
    <w:rsid w:val="00457CF7"/>
    <w:rsid w:val="00457E7F"/>
    <w:rsid w:val="0046147E"/>
    <w:rsid w:val="004616EB"/>
    <w:rsid w:val="004618AA"/>
    <w:rsid w:val="00464E4D"/>
    <w:rsid w:val="00464F67"/>
    <w:rsid w:val="004678F7"/>
    <w:rsid w:val="004705CB"/>
    <w:rsid w:val="00473D89"/>
    <w:rsid w:val="004747C0"/>
    <w:rsid w:val="00474C49"/>
    <w:rsid w:val="004751C3"/>
    <w:rsid w:val="00477E83"/>
    <w:rsid w:val="00481192"/>
    <w:rsid w:val="00481EB1"/>
    <w:rsid w:val="004824AF"/>
    <w:rsid w:val="004827EB"/>
    <w:rsid w:val="004843ED"/>
    <w:rsid w:val="004858BF"/>
    <w:rsid w:val="00485EDB"/>
    <w:rsid w:val="0048761C"/>
    <w:rsid w:val="00487F56"/>
    <w:rsid w:val="00490236"/>
    <w:rsid w:val="004913E5"/>
    <w:rsid w:val="004935CA"/>
    <w:rsid w:val="00493F1C"/>
    <w:rsid w:val="004952BF"/>
    <w:rsid w:val="004954AB"/>
    <w:rsid w:val="004956D9"/>
    <w:rsid w:val="004958E3"/>
    <w:rsid w:val="00495B6D"/>
    <w:rsid w:val="00496926"/>
    <w:rsid w:val="004A0898"/>
    <w:rsid w:val="004A2360"/>
    <w:rsid w:val="004A3526"/>
    <w:rsid w:val="004A6AA9"/>
    <w:rsid w:val="004A73F6"/>
    <w:rsid w:val="004B0348"/>
    <w:rsid w:val="004B042B"/>
    <w:rsid w:val="004B2BF0"/>
    <w:rsid w:val="004B39EC"/>
    <w:rsid w:val="004B3BDF"/>
    <w:rsid w:val="004B44CA"/>
    <w:rsid w:val="004B47AF"/>
    <w:rsid w:val="004B632C"/>
    <w:rsid w:val="004B652E"/>
    <w:rsid w:val="004B7E80"/>
    <w:rsid w:val="004C150B"/>
    <w:rsid w:val="004C2940"/>
    <w:rsid w:val="004C2B56"/>
    <w:rsid w:val="004C3C72"/>
    <w:rsid w:val="004C4CE0"/>
    <w:rsid w:val="004C64CC"/>
    <w:rsid w:val="004C6FF2"/>
    <w:rsid w:val="004C73C4"/>
    <w:rsid w:val="004D33A6"/>
    <w:rsid w:val="004D39BD"/>
    <w:rsid w:val="004D4C1B"/>
    <w:rsid w:val="004D635D"/>
    <w:rsid w:val="004E070E"/>
    <w:rsid w:val="004E1505"/>
    <w:rsid w:val="004E1516"/>
    <w:rsid w:val="004E17FA"/>
    <w:rsid w:val="004E2A2D"/>
    <w:rsid w:val="004E4E4F"/>
    <w:rsid w:val="004E682A"/>
    <w:rsid w:val="004E687A"/>
    <w:rsid w:val="004E7107"/>
    <w:rsid w:val="004E7E51"/>
    <w:rsid w:val="004F0089"/>
    <w:rsid w:val="004F02E7"/>
    <w:rsid w:val="004F0782"/>
    <w:rsid w:val="004F1672"/>
    <w:rsid w:val="004F177A"/>
    <w:rsid w:val="004F4661"/>
    <w:rsid w:val="004F4735"/>
    <w:rsid w:val="00501668"/>
    <w:rsid w:val="00502CBC"/>
    <w:rsid w:val="0050301E"/>
    <w:rsid w:val="00504659"/>
    <w:rsid w:val="00504CCC"/>
    <w:rsid w:val="005075D8"/>
    <w:rsid w:val="005076EB"/>
    <w:rsid w:val="0051184B"/>
    <w:rsid w:val="00514C29"/>
    <w:rsid w:val="005152C3"/>
    <w:rsid w:val="0051578F"/>
    <w:rsid w:val="005171E2"/>
    <w:rsid w:val="005172C1"/>
    <w:rsid w:val="00521D8D"/>
    <w:rsid w:val="005247BC"/>
    <w:rsid w:val="005256F7"/>
    <w:rsid w:val="00526034"/>
    <w:rsid w:val="00527436"/>
    <w:rsid w:val="005300A3"/>
    <w:rsid w:val="0053012F"/>
    <w:rsid w:val="005303E7"/>
    <w:rsid w:val="0053083F"/>
    <w:rsid w:val="0053300A"/>
    <w:rsid w:val="00533342"/>
    <w:rsid w:val="00533770"/>
    <w:rsid w:val="00533989"/>
    <w:rsid w:val="005339FE"/>
    <w:rsid w:val="00533E1D"/>
    <w:rsid w:val="005359C9"/>
    <w:rsid w:val="00535DAB"/>
    <w:rsid w:val="005362E4"/>
    <w:rsid w:val="00536BD9"/>
    <w:rsid w:val="00537766"/>
    <w:rsid w:val="00540DBA"/>
    <w:rsid w:val="00541BB9"/>
    <w:rsid w:val="0054266D"/>
    <w:rsid w:val="00542832"/>
    <w:rsid w:val="00542E9C"/>
    <w:rsid w:val="0054396B"/>
    <w:rsid w:val="00543FFB"/>
    <w:rsid w:val="00545438"/>
    <w:rsid w:val="00547420"/>
    <w:rsid w:val="005529CB"/>
    <w:rsid w:val="0055571F"/>
    <w:rsid w:val="00555B76"/>
    <w:rsid w:val="00556E31"/>
    <w:rsid w:val="00557993"/>
    <w:rsid w:val="00557B41"/>
    <w:rsid w:val="00562076"/>
    <w:rsid w:val="00563CBB"/>
    <w:rsid w:val="005649A3"/>
    <w:rsid w:val="00564B25"/>
    <w:rsid w:val="00565E2F"/>
    <w:rsid w:val="0056779A"/>
    <w:rsid w:val="00567D24"/>
    <w:rsid w:val="00567E22"/>
    <w:rsid w:val="00570296"/>
    <w:rsid w:val="005710AE"/>
    <w:rsid w:val="00571C19"/>
    <w:rsid w:val="00571F80"/>
    <w:rsid w:val="00572BE5"/>
    <w:rsid w:val="0057314E"/>
    <w:rsid w:val="00573DAE"/>
    <w:rsid w:val="00574671"/>
    <w:rsid w:val="00575A59"/>
    <w:rsid w:val="00581C6A"/>
    <w:rsid w:val="00581D2B"/>
    <w:rsid w:val="005833C2"/>
    <w:rsid w:val="00583891"/>
    <w:rsid w:val="0059034C"/>
    <w:rsid w:val="00590E7A"/>
    <w:rsid w:val="005914A9"/>
    <w:rsid w:val="0059229D"/>
    <w:rsid w:val="005944B7"/>
    <w:rsid w:val="005A59B7"/>
    <w:rsid w:val="005A5D20"/>
    <w:rsid w:val="005B03F5"/>
    <w:rsid w:val="005B0E9A"/>
    <w:rsid w:val="005B2AAE"/>
    <w:rsid w:val="005B3D12"/>
    <w:rsid w:val="005B4EE1"/>
    <w:rsid w:val="005B5C9A"/>
    <w:rsid w:val="005B6D3F"/>
    <w:rsid w:val="005C0EB0"/>
    <w:rsid w:val="005C2512"/>
    <w:rsid w:val="005C3F8A"/>
    <w:rsid w:val="005C5766"/>
    <w:rsid w:val="005C6849"/>
    <w:rsid w:val="005C6D9C"/>
    <w:rsid w:val="005C79B0"/>
    <w:rsid w:val="005D0F6F"/>
    <w:rsid w:val="005D365A"/>
    <w:rsid w:val="005D3706"/>
    <w:rsid w:val="005E1323"/>
    <w:rsid w:val="005E21BC"/>
    <w:rsid w:val="005E282E"/>
    <w:rsid w:val="005E3002"/>
    <w:rsid w:val="005E4A5C"/>
    <w:rsid w:val="005E4BFD"/>
    <w:rsid w:val="005E4F29"/>
    <w:rsid w:val="005E54D7"/>
    <w:rsid w:val="005E7AA4"/>
    <w:rsid w:val="005F0EE1"/>
    <w:rsid w:val="005F4476"/>
    <w:rsid w:val="005F4625"/>
    <w:rsid w:val="005F60F3"/>
    <w:rsid w:val="005F7390"/>
    <w:rsid w:val="005F75B3"/>
    <w:rsid w:val="005F7B7A"/>
    <w:rsid w:val="005F7E68"/>
    <w:rsid w:val="006022BA"/>
    <w:rsid w:val="00605F52"/>
    <w:rsid w:val="0060679E"/>
    <w:rsid w:val="00607412"/>
    <w:rsid w:val="006106CE"/>
    <w:rsid w:val="006116CA"/>
    <w:rsid w:val="00613DB5"/>
    <w:rsid w:val="0061550D"/>
    <w:rsid w:val="00615CFC"/>
    <w:rsid w:val="00616E5E"/>
    <w:rsid w:val="00617E51"/>
    <w:rsid w:val="0062347C"/>
    <w:rsid w:val="006261AA"/>
    <w:rsid w:val="00626EE7"/>
    <w:rsid w:val="00627B17"/>
    <w:rsid w:val="00630710"/>
    <w:rsid w:val="0063075D"/>
    <w:rsid w:val="006337C5"/>
    <w:rsid w:val="00634174"/>
    <w:rsid w:val="006346BB"/>
    <w:rsid w:val="00634FD5"/>
    <w:rsid w:val="00636F9C"/>
    <w:rsid w:val="006371CC"/>
    <w:rsid w:val="00641311"/>
    <w:rsid w:val="00642057"/>
    <w:rsid w:val="00643679"/>
    <w:rsid w:val="006438F7"/>
    <w:rsid w:val="006447B6"/>
    <w:rsid w:val="006470C7"/>
    <w:rsid w:val="00647DCD"/>
    <w:rsid w:val="00650026"/>
    <w:rsid w:val="0065219D"/>
    <w:rsid w:val="00652CF3"/>
    <w:rsid w:val="0065337C"/>
    <w:rsid w:val="006567DD"/>
    <w:rsid w:val="0065736A"/>
    <w:rsid w:val="00657E82"/>
    <w:rsid w:val="006614B6"/>
    <w:rsid w:val="006634FF"/>
    <w:rsid w:val="0066364E"/>
    <w:rsid w:val="00663F7A"/>
    <w:rsid w:val="006659A7"/>
    <w:rsid w:val="006665AE"/>
    <w:rsid w:val="00666BC1"/>
    <w:rsid w:val="00670977"/>
    <w:rsid w:val="006715EB"/>
    <w:rsid w:val="006719A0"/>
    <w:rsid w:val="00672606"/>
    <w:rsid w:val="00674808"/>
    <w:rsid w:val="00674FA4"/>
    <w:rsid w:val="00675348"/>
    <w:rsid w:val="00675BDB"/>
    <w:rsid w:val="00676527"/>
    <w:rsid w:val="00677658"/>
    <w:rsid w:val="00677BD0"/>
    <w:rsid w:val="00682999"/>
    <w:rsid w:val="00685673"/>
    <w:rsid w:val="006919CF"/>
    <w:rsid w:val="006923C3"/>
    <w:rsid w:val="00692C3E"/>
    <w:rsid w:val="00693B55"/>
    <w:rsid w:val="0069500D"/>
    <w:rsid w:val="00695208"/>
    <w:rsid w:val="00696813"/>
    <w:rsid w:val="00697A52"/>
    <w:rsid w:val="006A211A"/>
    <w:rsid w:val="006A38CD"/>
    <w:rsid w:val="006A39C0"/>
    <w:rsid w:val="006A486B"/>
    <w:rsid w:val="006A6F1B"/>
    <w:rsid w:val="006B0110"/>
    <w:rsid w:val="006B0740"/>
    <w:rsid w:val="006B1C72"/>
    <w:rsid w:val="006B27AB"/>
    <w:rsid w:val="006B3366"/>
    <w:rsid w:val="006B47E2"/>
    <w:rsid w:val="006B6A51"/>
    <w:rsid w:val="006C0AC4"/>
    <w:rsid w:val="006C2730"/>
    <w:rsid w:val="006C5D7C"/>
    <w:rsid w:val="006C6FEB"/>
    <w:rsid w:val="006C71C6"/>
    <w:rsid w:val="006C78AA"/>
    <w:rsid w:val="006D07A1"/>
    <w:rsid w:val="006D11EE"/>
    <w:rsid w:val="006D284D"/>
    <w:rsid w:val="006D3FC4"/>
    <w:rsid w:val="006D40AC"/>
    <w:rsid w:val="006D4D14"/>
    <w:rsid w:val="006D4F11"/>
    <w:rsid w:val="006D5513"/>
    <w:rsid w:val="006D77CE"/>
    <w:rsid w:val="006E0862"/>
    <w:rsid w:val="006E55A6"/>
    <w:rsid w:val="006E5D7D"/>
    <w:rsid w:val="006E64D3"/>
    <w:rsid w:val="006E72E0"/>
    <w:rsid w:val="006F0EC6"/>
    <w:rsid w:val="006F23AC"/>
    <w:rsid w:val="006F23C3"/>
    <w:rsid w:val="006F2C3F"/>
    <w:rsid w:val="006F3D45"/>
    <w:rsid w:val="006F543E"/>
    <w:rsid w:val="006F6F17"/>
    <w:rsid w:val="006F733B"/>
    <w:rsid w:val="006F781D"/>
    <w:rsid w:val="00700358"/>
    <w:rsid w:val="007006BD"/>
    <w:rsid w:val="0070774F"/>
    <w:rsid w:val="00707F80"/>
    <w:rsid w:val="0071013D"/>
    <w:rsid w:val="00710AA3"/>
    <w:rsid w:val="0071126B"/>
    <w:rsid w:val="00711347"/>
    <w:rsid w:val="00711670"/>
    <w:rsid w:val="00712450"/>
    <w:rsid w:val="0071265D"/>
    <w:rsid w:val="007139C3"/>
    <w:rsid w:val="00713E67"/>
    <w:rsid w:val="00714279"/>
    <w:rsid w:val="007154BB"/>
    <w:rsid w:val="007168CC"/>
    <w:rsid w:val="0071763B"/>
    <w:rsid w:val="00720301"/>
    <w:rsid w:val="00722528"/>
    <w:rsid w:val="00724B3D"/>
    <w:rsid w:val="00725809"/>
    <w:rsid w:val="00725903"/>
    <w:rsid w:val="0072613D"/>
    <w:rsid w:val="007265BA"/>
    <w:rsid w:val="007266BD"/>
    <w:rsid w:val="0072797A"/>
    <w:rsid w:val="00727C04"/>
    <w:rsid w:val="00731B48"/>
    <w:rsid w:val="00732A58"/>
    <w:rsid w:val="00733496"/>
    <w:rsid w:val="007357CA"/>
    <w:rsid w:val="007368B3"/>
    <w:rsid w:val="00737AFA"/>
    <w:rsid w:val="0074003F"/>
    <w:rsid w:val="00740446"/>
    <w:rsid w:val="00740C6E"/>
    <w:rsid w:val="007414DE"/>
    <w:rsid w:val="00742C72"/>
    <w:rsid w:val="0074336F"/>
    <w:rsid w:val="00744829"/>
    <w:rsid w:val="00744CEF"/>
    <w:rsid w:val="00745A01"/>
    <w:rsid w:val="007507FC"/>
    <w:rsid w:val="00750F3A"/>
    <w:rsid w:val="007532BA"/>
    <w:rsid w:val="00754C25"/>
    <w:rsid w:val="0075557C"/>
    <w:rsid w:val="007560FA"/>
    <w:rsid w:val="00756CEB"/>
    <w:rsid w:val="00756D9A"/>
    <w:rsid w:val="007604CE"/>
    <w:rsid w:val="00760B2D"/>
    <w:rsid w:val="007617F0"/>
    <w:rsid w:val="00761D95"/>
    <w:rsid w:val="00762081"/>
    <w:rsid w:val="00762763"/>
    <w:rsid w:val="00763F10"/>
    <w:rsid w:val="00770190"/>
    <w:rsid w:val="00772DAF"/>
    <w:rsid w:val="007763BE"/>
    <w:rsid w:val="0077691E"/>
    <w:rsid w:val="00776E62"/>
    <w:rsid w:val="00777AA0"/>
    <w:rsid w:val="00783068"/>
    <w:rsid w:val="0078414F"/>
    <w:rsid w:val="0078544E"/>
    <w:rsid w:val="007859F8"/>
    <w:rsid w:val="007868AC"/>
    <w:rsid w:val="00786CA7"/>
    <w:rsid w:val="007879D5"/>
    <w:rsid w:val="00787C69"/>
    <w:rsid w:val="00790243"/>
    <w:rsid w:val="007907F9"/>
    <w:rsid w:val="00790805"/>
    <w:rsid w:val="00790922"/>
    <w:rsid w:val="00792D4C"/>
    <w:rsid w:val="00792E56"/>
    <w:rsid w:val="00792E7D"/>
    <w:rsid w:val="007943D1"/>
    <w:rsid w:val="007945C2"/>
    <w:rsid w:val="00795D4C"/>
    <w:rsid w:val="007962CF"/>
    <w:rsid w:val="00796AA4"/>
    <w:rsid w:val="0079766C"/>
    <w:rsid w:val="007B06F5"/>
    <w:rsid w:val="007B0F35"/>
    <w:rsid w:val="007B1061"/>
    <w:rsid w:val="007B1201"/>
    <w:rsid w:val="007B1205"/>
    <w:rsid w:val="007B368E"/>
    <w:rsid w:val="007B4E86"/>
    <w:rsid w:val="007B5054"/>
    <w:rsid w:val="007B5744"/>
    <w:rsid w:val="007B6880"/>
    <w:rsid w:val="007B7B88"/>
    <w:rsid w:val="007C2D7B"/>
    <w:rsid w:val="007C354B"/>
    <w:rsid w:val="007C3616"/>
    <w:rsid w:val="007C4A08"/>
    <w:rsid w:val="007C57EB"/>
    <w:rsid w:val="007C6ECA"/>
    <w:rsid w:val="007D344B"/>
    <w:rsid w:val="007D659A"/>
    <w:rsid w:val="007D6CA5"/>
    <w:rsid w:val="007E33A9"/>
    <w:rsid w:val="007E410D"/>
    <w:rsid w:val="007E4476"/>
    <w:rsid w:val="007E4791"/>
    <w:rsid w:val="007E4F1B"/>
    <w:rsid w:val="007E5569"/>
    <w:rsid w:val="007E7A4A"/>
    <w:rsid w:val="007F03A6"/>
    <w:rsid w:val="007F0DF9"/>
    <w:rsid w:val="007F0E68"/>
    <w:rsid w:val="007F0FCF"/>
    <w:rsid w:val="007F36C2"/>
    <w:rsid w:val="007F46F6"/>
    <w:rsid w:val="007F4D4A"/>
    <w:rsid w:val="007F4E13"/>
    <w:rsid w:val="007F5CD1"/>
    <w:rsid w:val="007F6FEF"/>
    <w:rsid w:val="007F7763"/>
    <w:rsid w:val="008016FD"/>
    <w:rsid w:val="00801F20"/>
    <w:rsid w:val="0080226F"/>
    <w:rsid w:val="00802286"/>
    <w:rsid w:val="00803A73"/>
    <w:rsid w:val="008053E7"/>
    <w:rsid w:val="00806E65"/>
    <w:rsid w:val="00810359"/>
    <w:rsid w:val="00810BA8"/>
    <w:rsid w:val="00812A5D"/>
    <w:rsid w:val="00812D50"/>
    <w:rsid w:val="008142B7"/>
    <w:rsid w:val="00814362"/>
    <w:rsid w:val="0081451A"/>
    <w:rsid w:val="0081468C"/>
    <w:rsid w:val="008146DB"/>
    <w:rsid w:val="008151AD"/>
    <w:rsid w:val="00817BC3"/>
    <w:rsid w:val="008205F6"/>
    <w:rsid w:val="0082143A"/>
    <w:rsid w:val="00823B9D"/>
    <w:rsid w:val="0082404E"/>
    <w:rsid w:val="00824B45"/>
    <w:rsid w:val="00825050"/>
    <w:rsid w:val="00825070"/>
    <w:rsid w:val="00826112"/>
    <w:rsid w:val="00827A6B"/>
    <w:rsid w:val="0083061F"/>
    <w:rsid w:val="008318AF"/>
    <w:rsid w:val="0083222D"/>
    <w:rsid w:val="00832FFB"/>
    <w:rsid w:val="00833572"/>
    <w:rsid w:val="00833AC7"/>
    <w:rsid w:val="008342FD"/>
    <w:rsid w:val="00835879"/>
    <w:rsid w:val="008379FB"/>
    <w:rsid w:val="00837BD2"/>
    <w:rsid w:val="008405D3"/>
    <w:rsid w:val="00840D88"/>
    <w:rsid w:val="00843B93"/>
    <w:rsid w:val="008451B4"/>
    <w:rsid w:val="00845F5A"/>
    <w:rsid w:val="008507F4"/>
    <w:rsid w:val="0085152A"/>
    <w:rsid w:val="00853630"/>
    <w:rsid w:val="00857318"/>
    <w:rsid w:val="00857BB9"/>
    <w:rsid w:val="00860618"/>
    <w:rsid w:val="00860E3A"/>
    <w:rsid w:val="00860FA0"/>
    <w:rsid w:val="008611F1"/>
    <w:rsid w:val="00861777"/>
    <w:rsid w:val="008618CC"/>
    <w:rsid w:val="008635AB"/>
    <w:rsid w:val="00863A94"/>
    <w:rsid w:val="00864EA2"/>
    <w:rsid w:val="00866B9E"/>
    <w:rsid w:val="0086763D"/>
    <w:rsid w:val="00867966"/>
    <w:rsid w:val="00870BCE"/>
    <w:rsid w:val="0087217E"/>
    <w:rsid w:val="00872B23"/>
    <w:rsid w:val="00874AFF"/>
    <w:rsid w:val="00875F88"/>
    <w:rsid w:val="0087638C"/>
    <w:rsid w:val="00876A0B"/>
    <w:rsid w:val="0087704F"/>
    <w:rsid w:val="00877943"/>
    <w:rsid w:val="00877EF8"/>
    <w:rsid w:val="008802BB"/>
    <w:rsid w:val="00881010"/>
    <w:rsid w:val="00881EDF"/>
    <w:rsid w:val="00882197"/>
    <w:rsid w:val="00882C27"/>
    <w:rsid w:val="00883351"/>
    <w:rsid w:val="0088415C"/>
    <w:rsid w:val="008849B1"/>
    <w:rsid w:val="00885B75"/>
    <w:rsid w:val="00885F93"/>
    <w:rsid w:val="00886A02"/>
    <w:rsid w:val="00886A8F"/>
    <w:rsid w:val="00887D06"/>
    <w:rsid w:val="0089029A"/>
    <w:rsid w:val="00890C88"/>
    <w:rsid w:val="00891428"/>
    <w:rsid w:val="00891C88"/>
    <w:rsid w:val="00893375"/>
    <w:rsid w:val="00894211"/>
    <w:rsid w:val="00895944"/>
    <w:rsid w:val="00897F4A"/>
    <w:rsid w:val="008A16E8"/>
    <w:rsid w:val="008A1AC9"/>
    <w:rsid w:val="008A1BEA"/>
    <w:rsid w:val="008A286B"/>
    <w:rsid w:val="008A3868"/>
    <w:rsid w:val="008A3893"/>
    <w:rsid w:val="008A3A6D"/>
    <w:rsid w:val="008A3CD5"/>
    <w:rsid w:val="008A75FB"/>
    <w:rsid w:val="008A7DAA"/>
    <w:rsid w:val="008B0805"/>
    <w:rsid w:val="008B18DF"/>
    <w:rsid w:val="008B1AC1"/>
    <w:rsid w:val="008B220F"/>
    <w:rsid w:val="008C09C2"/>
    <w:rsid w:val="008C4498"/>
    <w:rsid w:val="008C4AEA"/>
    <w:rsid w:val="008C5511"/>
    <w:rsid w:val="008C614B"/>
    <w:rsid w:val="008C64E7"/>
    <w:rsid w:val="008C7E49"/>
    <w:rsid w:val="008D036B"/>
    <w:rsid w:val="008D0F76"/>
    <w:rsid w:val="008D1E09"/>
    <w:rsid w:val="008D27A4"/>
    <w:rsid w:val="008D324C"/>
    <w:rsid w:val="008D65DE"/>
    <w:rsid w:val="008D717F"/>
    <w:rsid w:val="008E1D8B"/>
    <w:rsid w:val="008E37A2"/>
    <w:rsid w:val="008E3C75"/>
    <w:rsid w:val="008E54B2"/>
    <w:rsid w:val="008E6576"/>
    <w:rsid w:val="008E67B1"/>
    <w:rsid w:val="008E742B"/>
    <w:rsid w:val="008F0AF2"/>
    <w:rsid w:val="008F18BB"/>
    <w:rsid w:val="008F6E81"/>
    <w:rsid w:val="008F7315"/>
    <w:rsid w:val="008F78EA"/>
    <w:rsid w:val="009012EC"/>
    <w:rsid w:val="00901668"/>
    <w:rsid w:val="009018E1"/>
    <w:rsid w:val="009036FC"/>
    <w:rsid w:val="00903915"/>
    <w:rsid w:val="00903C5D"/>
    <w:rsid w:val="0090423C"/>
    <w:rsid w:val="00906E51"/>
    <w:rsid w:val="0091135A"/>
    <w:rsid w:val="009121FC"/>
    <w:rsid w:val="009123A7"/>
    <w:rsid w:val="009124B7"/>
    <w:rsid w:val="00916CDF"/>
    <w:rsid w:val="00920036"/>
    <w:rsid w:val="009220F6"/>
    <w:rsid w:val="00922A01"/>
    <w:rsid w:val="00924C3C"/>
    <w:rsid w:val="00925FD5"/>
    <w:rsid w:val="00930224"/>
    <w:rsid w:val="0093466B"/>
    <w:rsid w:val="00937814"/>
    <w:rsid w:val="00937C3E"/>
    <w:rsid w:val="00940F8B"/>
    <w:rsid w:val="0094475D"/>
    <w:rsid w:val="009456B5"/>
    <w:rsid w:val="00947A4F"/>
    <w:rsid w:val="00951C70"/>
    <w:rsid w:val="00952326"/>
    <w:rsid w:val="00953023"/>
    <w:rsid w:val="00953D38"/>
    <w:rsid w:val="0095696F"/>
    <w:rsid w:val="00960567"/>
    <w:rsid w:val="00961BC0"/>
    <w:rsid w:val="009626EA"/>
    <w:rsid w:val="00965112"/>
    <w:rsid w:val="00965CC5"/>
    <w:rsid w:val="00967886"/>
    <w:rsid w:val="00967DFD"/>
    <w:rsid w:val="00971099"/>
    <w:rsid w:val="0097133C"/>
    <w:rsid w:val="009734CA"/>
    <w:rsid w:val="00973682"/>
    <w:rsid w:val="0097403B"/>
    <w:rsid w:val="00974DCB"/>
    <w:rsid w:val="0098124E"/>
    <w:rsid w:val="00982854"/>
    <w:rsid w:val="0098552A"/>
    <w:rsid w:val="00985839"/>
    <w:rsid w:val="00985B5E"/>
    <w:rsid w:val="00985BD3"/>
    <w:rsid w:val="009861C4"/>
    <w:rsid w:val="00987510"/>
    <w:rsid w:val="0099040A"/>
    <w:rsid w:val="00990CEF"/>
    <w:rsid w:val="00991226"/>
    <w:rsid w:val="00991558"/>
    <w:rsid w:val="00991DF0"/>
    <w:rsid w:val="00992365"/>
    <w:rsid w:val="00992451"/>
    <w:rsid w:val="009924C5"/>
    <w:rsid w:val="00992F2B"/>
    <w:rsid w:val="00993082"/>
    <w:rsid w:val="00993570"/>
    <w:rsid w:val="00993730"/>
    <w:rsid w:val="00996E53"/>
    <w:rsid w:val="00996F07"/>
    <w:rsid w:val="00997172"/>
    <w:rsid w:val="009A1718"/>
    <w:rsid w:val="009A4B71"/>
    <w:rsid w:val="009A5212"/>
    <w:rsid w:val="009A598E"/>
    <w:rsid w:val="009A5F0B"/>
    <w:rsid w:val="009A68C6"/>
    <w:rsid w:val="009A6ED9"/>
    <w:rsid w:val="009B0604"/>
    <w:rsid w:val="009B090B"/>
    <w:rsid w:val="009B133B"/>
    <w:rsid w:val="009B4A8F"/>
    <w:rsid w:val="009B60D2"/>
    <w:rsid w:val="009B779C"/>
    <w:rsid w:val="009C0EFB"/>
    <w:rsid w:val="009C19B0"/>
    <w:rsid w:val="009C1CCB"/>
    <w:rsid w:val="009C2B22"/>
    <w:rsid w:val="009C3EDF"/>
    <w:rsid w:val="009C5C0A"/>
    <w:rsid w:val="009C5CDE"/>
    <w:rsid w:val="009C6385"/>
    <w:rsid w:val="009C7BEC"/>
    <w:rsid w:val="009D1A3B"/>
    <w:rsid w:val="009D1E6D"/>
    <w:rsid w:val="009D250B"/>
    <w:rsid w:val="009D27E6"/>
    <w:rsid w:val="009D545B"/>
    <w:rsid w:val="009D599B"/>
    <w:rsid w:val="009D5CE2"/>
    <w:rsid w:val="009D74B9"/>
    <w:rsid w:val="009E020B"/>
    <w:rsid w:val="009E1113"/>
    <w:rsid w:val="009E14CF"/>
    <w:rsid w:val="009E2162"/>
    <w:rsid w:val="009E2CF0"/>
    <w:rsid w:val="009E5AF4"/>
    <w:rsid w:val="009F38EC"/>
    <w:rsid w:val="009F40E4"/>
    <w:rsid w:val="009F55EB"/>
    <w:rsid w:val="009F6269"/>
    <w:rsid w:val="009F736D"/>
    <w:rsid w:val="009F76B6"/>
    <w:rsid w:val="009F79B2"/>
    <w:rsid w:val="00A00597"/>
    <w:rsid w:val="00A00AE9"/>
    <w:rsid w:val="00A01B6C"/>
    <w:rsid w:val="00A03B1B"/>
    <w:rsid w:val="00A04C49"/>
    <w:rsid w:val="00A06BA4"/>
    <w:rsid w:val="00A07A73"/>
    <w:rsid w:val="00A10A25"/>
    <w:rsid w:val="00A1242B"/>
    <w:rsid w:val="00A139EF"/>
    <w:rsid w:val="00A1465D"/>
    <w:rsid w:val="00A14CAA"/>
    <w:rsid w:val="00A150A2"/>
    <w:rsid w:val="00A165C4"/>
    <w:rsid w:val="00A16945"/>
    <w:rsid w:val="00A20D0D"/>
    <w:rsid w:val="00A20F81"/>
    <w:rsid w:val="00A21761"/>
    <w:rsid w:val="00A2201C"/>
    <w:rsid w:val="00A2223B"/>
    <w:rsid w:val="00A22CB6"/>
    <w:rsid w:val="00A22E60"/>
    <w:rsid w:val="00A246E3"/>
    <w:rsid w:val="00A255DC"/>
    <w:rsid w:val="00A2657D"/>
    <w:rsid w:val="00A26A95"/>
    <w:rsid w:val="00A26EBA"/>
    <w:rsid w:val="00A26F04"/>
    <w:rsid w:val="00A274F8"/>
    <w:rsid w:val="00A27C23"/>
    <w:rsid w:val="00A27FF0"/>
    <w:rsid w:val="00A308B5"/>
    <w:rsid w:val="00A30E00"/>
    <w:rsid w:val="00A33CC3"/>
    <w:rsid w:val="00A348CD"/>
    <w:rsid w:val="00A35296"/>
    <w:rsid w:val="00A415ED"/>
    <w:rsid w:val="00A41A30"/>
    <w:rsid w:val="00A42681"/>
    <w:rsid w:val="00A447A7"/>
    <w:rsid w:val="00A44A30"/>
    <w:rsid w:val="00A44C20"/>
    <w:rsid w:val="00A46CC5"/>
    <w:rsid w:val="00A51B14"/>
    <w:rsid w:val="00A51C68"/>
    <w:rsid w:val="00A52E2F"/>
    <w:rsid w:val="00A53A8B"/>
    <w:rsid w:val="00A5462B"/>
    <w:rsid w:val="00A568AF"/>
    <w:rsid w:val="00A619F2"/>
    <w:rsid w:val="00A62250"/>
    <w:rsid w:val="00A64677"/>
    <w:rsid w:val="00A64F7C"/>
    <w:rsid w:val="00A651ED"/>
    <w:rsid w:val="00A65A26"/>
    <w:rsid w:val="00A71FA7"/>
    <w:rsid w:val="00A7208A"/>
    <w:rsid w:val="00A72B93"/>
    <w:rsid w:val="00A74234"/>
    <w:rsid w:val="00A776B3"/>
    <w:rsid w:val="00A77A8C"/>
    <w:rsid w:val="00A8084C"/>
    <w:rsid w:val="00A80D47"/>
    <w:rsid w:val="00A8209E"/>
    <w:rsid w:val="00A83760"/>
    <w:rsid w:val="00A83BD6"/>
    <w:rsid w:val="00A83C4A"/>
    <w:rsid w:val="00A8412D"/>
    <w:rsid w:val="00A8458D"/>
    <w:rsid w:val="00A900A9"/>
    <w:rsid w:val="00A90F50"/>
    <w:rsid w:val="00A9250B"/>
    <w:rsid w:val="00A93118"/>
    <w:rsid w:val="00A938DC"/>
    <w:rsid w:val="00A94355"/>
    <w:rsid w:val="00A950DF"/>
    <w:rsid w:val="00A956B1"/>
    <w:rsid w:val="00A96C7E"/>
    <w:rsid w:val="00A96CEE"/>
    <w:rsid w:val="00AA0496"/>
    <w:rsid w:val="00AA0A05"/>
    <w:rsid w:val="00AA183C"/>
    <w:rsid w:val="00AA21C6"/>
    <w:rsid w:val="00AA273C"/>
    <w:rsid w:val="00AA698B"/>
    <w:rsid w:val="00AA742F"/>
    <w:rsid w:val="00AB11B4"/>
    <w:rsid w:val="00AB12AF"/>
    <w:rsid w:val="00AB158E"/>
    <w:rsid w:val="00AB2395"/>
    <w:rsid w:val="00AB3184"/>
    <w:rsid w:val="00AB4603"/>
    <w:rsid w:val="00AB645D"/>
    <w:rsid w:val="00AB6CAB"/>
    <w:rsid w:val="00AB7FC7"/>
    <w:rsid w:val="00AC0A77"/>
    <w:rsid w:val="00AC13B7"/>
    <w:rsid w:val="00AC2C4B"/>
    <w:rsid w:val="00AC3BD1"/>
    <w:rsid w:val="00AC49A4"/>
    <w:rsid w:val="00AC4E13"/>
    <w:rsid w:val="00AC534F"/>
    <w:rsid w:val="00AC5D2C"/>
    <w:rsid w:val="00AC6E18"/>
    <w:rsid w:val="00AC77B1"/>
    <w:rsid w:val="00AD052B"/>
    <w:rsid w:val="00AD0F75"/>
    <w:rsid w:val="00AD20A3"/>
    <w:rsid w:val="00AD3FC8"/>
    <w:rsid w:val="00AD5260"/>
    <w:rsid w:val="00AD575B"/>
    <w:rsid w:val="00AD7832"/>
    <w:rsid w:val="00AD7FB5"/>
    <w:rsid w:val="00AE0E2A"/>
    <w:rsid w:val="00AE1FC1"/>
    <w:rsid w:val="00AE20D4"/>
    <w:rsid w:val="00AE273D"/>
    <w:rsid w:val="00AE7687"/>
    <w:rsid w:val="00AF01D6"/>
    <w:rsid w:val="00AF3373"/>
    <w:rsid w:val="00AF44EE"/>
    <w:rsid w:val="00AF47C2"/>
    <w:rsid w:val="00AF4841"/>
    <w:rsid w:val="00AF5492"/>
    <w:rsid w:val="00AF694F"/>
    <w:rsid w:val="00AF7072"/>
    <w:rsid w:val="00B00346"/>
    <w:rsid w:val="00B02F07"/>
    <w:rsid w:val="00B05F58"/>
    <w:rsid w:val="00B106DC"/>
    <w:rsid w:val="00B13308"/>
    <w:rsid w:val="00B14264"/>
    <w:rsid w:val="00B1493C"/>
    <w:rsid w:val="00B14C7C"/>
    <w:rsid w:val="00B20D98"/>
    <w:rsid w:val="00B22A61"/>
    <w:rsid w:val="00B22F73"/>
    <w:rsid w:val="00B22F7F"/>
    <w:rsid w:val="00B23ED8"/>
    <w:rsid w:val="00B24081"/>
    <w:rsid w:val="00B27527"/>
    <w:rsid w:val="00B31B1A"/>
    <w:rsid w:val="00B321CE"/>
    <w:rsid w:val="00B32499"/>
    <w:rsid w:val="00B35290"/>
    <w:rsid w:val="00B35294"/>
    <w:rsid w:val="00B357A9"/>
    <w:rsid w:val="00B35EDE"/>
    <w:rsid w:val="00B36AAE"/>
    <w:rsid w:val="00B37745"/>
    <w:rsid w:val="00B41732"/>
    <w:rsid w:val="00B4405A"/>
    <w:rsid w:val="00B45DEB"/>
    <w:rsid w:val="00B47B95"/>
    <w:rsid w:val="00B5255B"/>
    <w:rsid w:val="00B536EB"/>
    <w:rsid w:val="00B54D1E"/>
    <w:rsid w:val="00B55C0D"/>
    <w:rsid w:val="00B5672A"/>
    <w:rsid w:val="00B56880"/>
    <w:rsid w:val="00B611D0"/>
    <w:rsid w:val="00B62411"/>
    <w:rsid w:val="00B63039"/>
    <w:rsid w:val="00B63244"/>
    <w:rsid w:val="00B6360E"/>
    <w:rsid w:val="00B63DDB"/>
    <w:rsid w:val="00B66EC3"/>
    <w:rsid w:val="00B6780C"/>
    <w:rsid w:val="00B700B6"/>
    <w:rsid w:val="00B71D57"/>
    <w:rsid w:val="00B71FFB"/>
    <w:rsid w:val="00B7231D"/>
    <w:rsid w:val="00B73BD5"/>
    <w:rsid w:val="00B7552E"/>
    <w:rsid w:val="00B758F4"/>
    <w:rsid w:val="00B77481"/>
    <w:rsid w:val="00B77E7A"/>
    <w:rsid w:val="00B81EE2"/>
    <w:rsid w:val="00B8629A"/>
    <w:rsid w:val="00B913AB"/>
    <w:rsid w:val="00B9381F"/>
    <w:rsid w:val="00B93FCB"/>
    <w:rsid w:val="00B9521B"/>
    <w:rsid w:val="00B964A1"/>
    <w:rsid w:val="00B97A71"/>
    <w:rsid w:val="00BA02CF"/>
    <w:rsid w:val="00BA082F"/>
    <w:rsid w:val="00BA11C2"/>
    <w:rsid w:val="00BA1DD9"/>
    <w:rsid w:val="00BA20D7"/>
    <w:rsid w:val="00BA24C7"/>
    <w:rsid w:val="00BA2DD9"/>
    <w:rsid w:val="00BA45BF"/>
    <w:rsid w:val="00BA5618"/>
    <w:rsid w:val="00BA586C"/>
    <w:rsid w:val="00BA6561"/>
    <w:rsid w:val="00BA7A1F"/>
    <w:rsid w:val="00BA7B03"/>
    <w:rsid w:val="00BB0559"/>
    <w:rsid w:val="00BB12C5"/>
    <w:rsid w:val="00BB18FA"/>
    <w:rsid w:val="00BB27AD"/>
    <w:rsid w:val="00BB33E3"/>
    <w:rsid w:val="00BB37EE"/>
    <w:rsid w:val="00BB4C9C"/>
    <w:rsid w:val="00BB4F4F"/>
    <w:rsid w:val="00BB6726"/>
    <w:rsid w:val="00BC288C"/>
    <w:rsid w:val="00BC38C8"/>
    <w:rsid w:val="00BC3F0F"/>
    <w:rsid w:val="00BC4277"/>
    <w:rsid w:val="00BC65EB"/>
    <w:rsid w:val="00BC7C12"/>
    <w:rsid w:val="00BD06CA"/>
    <w:rsid w:val="00BD0C53"/>
    <w:rsid w:val="00BD14DD"/>
    <w:rsid w:val="00BD1D2E"/>
    <w:rsid w:val="00BD24CB"/>
    <w:rsid w:val="00BD2E8A"/>
    <w:rsid w:val="00BD3DCE"/>
    <w:rsid w:val="00BD5924"/>
    <w:rsid w:val="00BD6FB4"/>
    <w:rsid w:val="00BD7893"/>
    <w:rsid w:val="00BE13EA"/>
    <w:rsid w:val="00BE2879"/>
    <w:rsid w:val="00BE2D90"/>
    <w:rsid w:val="00BE421B"/>
    <w:rsid w:val="00BE4269"/>
    <w:rsid w:val="00BE46BA"/>
    <w:rsid w:val="00BF45FD"/>
    <w:rsid w:val="00BF57F3"/>
    <w:rsid w:val="00BF5E3B"/>
    <w:rsid w:val="00BF60F1"/>
    <w:rsid w:val="00BF6EB6"/>
    <w:rsid w:val="00BF7AF0"/>
    <w:rsid w:val="00BF7B25"/>
    <w:rsid w:val="00C025FF"/>
    <w:rsid w:val="00C02AC5"/>
    <w:rsid w:val="00C03142"/>
    <w:rsid w:val="00C031F0"/>
    <w:rsid w:val="00C04C7C"/>
    <w:rsid w:val="00C071A9"/>
    <w:rsid w:val="00C10647"/>
    <w:rsid w:val="00C10C8C"/>
    <w:rsid w:val="00C13011"/>
    <w:rsid w:val="00C14AC0"/>
    <w:rsid w:val="00C15119"/>
    <w:rsid w:val="00C15291"/>
    <w:rsid w:val="00C15812"/>
    <w:rsid w:val="00C20149"/>
    <w:rsid w:val="00C20B21"/>
    <w:rsid w:val="00C225A1"/>
    <w:rsid w:val="00C23152"/>
    <w:rsid w:val="00C23A46"/>
    <w:rsid w:val="00C24C64"/>
    <w:rsid w:val="00C268D5"/>
    <w:rsid w:val="00C32380"/>
    <w:rsid w:val="00C340A9"/>
    <w:rsid w:val="00C341B9"/>
    <w:rsid w:val="00C34261"/>
    <w:rsid w:val="00C35318"/>
    <w:rsid w:val="00C35733"/>
    <w:rsid w:val="00C35C25"/>
    <w:rsid w:val="00C3778D"/>
    <w:rsid w:val="00C377A9"/>
    <w:rsid w:val="00C41624"/>
    <w:rsid w:val="00C416D6"/>
    <w:rsid w:val="00C418C2"/>
    <w:rsid w:val="00C41A44"/>
    <w:rsid w:val="00C41B5D"/>
    <w:rsid w:val="00C42069"/>
    <w:rsid w:val="00C42BDD"/>
    <w:rsid w:val="00C4408D"/>
    <w:rsid w:val="00C45DC0"/>
    <w:rsid w:val="00C45EC0"/>
    <w:rsid w:val="00C45F7B"/>
    <w:rsid w:val="00C46B02"/>
    <w:rsid w:val="00C47075"/>
    <w:rsid w:val="00C53A6D"/>
    <w:rsid w:val="00C53CD6"/>
    <w:rsid w:val="00C5528D"/>
    <w:rsid w:val="00C55E90"/>
    <w:rsid w:val="00C57242"/>
    <w:rsid w:val="00C572EA"/>
    <w:rsid w:val="00C5751B"/>
    <w:rsid w:val="00C61024"/>
    <w:rsid w:val="00C61597"/>
    <w:rsid w:val="00C6295D"/>
    <w:rsid w:val="00C645CD"/>
    <w:rsid w:val="00C647D0"/>
    <w:rsid w:val="00C7217C"/>
    <w:rsid w:val="00C72E51"/>
    <w:rsid w:val="00C72F16"/>
    <w:rsid w:val="00C72F20"/>
    <w:rsid w:val="00C7377A"/>
    <w:rsid w:val="00C74526"/>
    <w:rsid w:val="00C74A62"/>
    <w:rsid w:val="00C75A06"/>
    <w:rsid w:val="00C777A7"/>
    <w:rsid w:val="00C8276E"/>
    <w:rsid w:val="00C827DB"/>
    <w:rsid w:val="00C83B79"/>
    <w:rsid w:val="00C859B9"/>
    <w:rsid w:val="00C86D0E"/>
    <w:rsid w:val="00C86EF9"/>
    <w:rsid w:val="00C90509"/>
    <w:rsid w:val="00C906A3"/>
    <w:rsid w:val="00C90726"/>
    <w:rsid w:val="00C91773"/>
    <w:rsid w:val="00C92B94"/>
    <w:rsid w:val="00C96CCA"/>
    <w:rsid w:val="00CA02D4"/>
    <w:rsid w:val="00CA1670"/>
    <w:rsid w:val="00CA30C2"/>
    <w:rsid w:val="00CA48BA"/>
    <w:rsid w:val="00CA556F"/>
    <w:rsid w:val="00CA5EE2"/>
    <w:rsid w:val="00CA6009"/>
    <w:rsid w:val="00CA7055"/>
    <w:rsid w:val="00CB0527"/>
    <w:rsid w:val="00CB0AA9"/>
    <w:rsid w:val="00CB16F2"/>
    <w:rsid w:val="00CB2B6B"/>
    <w:rsid w:val="00CB3DF5"/>
    <w:rsid w:val="00CB5120"/>
    <w:rsid w:val="00CB5C41"/>
    <w:rsid w:val="00CB7A4F"/>
    <w:rsid w:val="00CC19D0"/>
    <w:rsid w:val="00CC1C2C"/>
    <w:rsid w:val="00CC28BE"/>
    <w:rsid w:val="00CC49C6"/>
    <w:rsid w:val="00CC4ECC"/>
    <w:rsid w:val="00CC59DA"/>
    <w:rsid w:val="00CC7441"/>
    <w:rsid w:val="00CD5955"/>
    <w:rsid w:val="00CD5EA7"/>
    <w:rsid w:val="00CD62B4"/>
    <w:rsid w:val="00CE0982"/>
    <w:rsid w:val="00CE165C"/>
    <w:rsid w:val="00CE1AAA"/>
    <w:rsid w:val="00CE1EA6"/>
    <w:rsid w:val="00CE5326"/>
    <w:rsid w:val="00CE6390"/>
    <w:rsid w:val="00CE64EA"/>
    <w:rsid w:val="00CE71E7"/>
    <w:rsid w:val="00CF09EC"/>
    <w:rsid w:val="00CF0C98"/>
    <w:rsid w:val="00CF2D27"/>
    <w:rsid w:val="00CF4019"/>
    <w:rsid w:val="00CF49C7"/>
    <w:rsid w:val="00CF4B58"/>
    <w:rsid w:val="00CF630E"/>
    <w:rsid w:val="00CF674E"/>
    <w:rsid w:val="00CF6BEA"/>
    <w:rsid w:val="00D001F7"/>
    <w:rsid w:val="00D010EB"/>
    <w:rsid w:val="00D01C93"/>
    <w:rsid w:val="00D01EE3"/>
    <w:rsid w:val="00D024CB"/>
    <w:rsid w:val="00D029B4"/>
    <w:rsid w:val="00D02F9F"/>
    <w:rsid w:val="00D11E39"/>
    <w:rsid w:val="00D16E09"/>
    <w:rsid w:val="00D17781"/>
    <w:rsid w:val="00D21BAF"/>
    <w:rsid w:val="00D24343"/>
    <w:rsid w:val="00D25C37"/>
    <w:rsid w:val="00D27B3C"/>
    <w:rsid w:val="00D308CB"/>
    <w:rsid w:val="00D30A67"/>
    <w:rsid w:val="00D313A8"/>
    <w:rsid w:val="00D3144A"/>
    <w:rsid w:val="00D31869"/>
    <w:rsid w:val="00D3193B"/>
    <w:rsid w:val="00D31B55"/>
    <w:rsid w:val="00D350B0"/>
    <w:rsid w:val="00D36A63"/>
    <w:rsid w:val="00D3762E"/>
    <w:rsid w:val="00D44333"/>
    <w:rsid w:val="00D44505"/>
    <w:rsid w:val="00D44F1E"/>
    <w:rsid w:val="00D46502"/>
    <w:rsid w:val="00D46F44"/>
    <w:rsid w:val="00D46F69"/>
    <w:rsid w:val="00D477D2"/>
    <w:rsid w:val="00D47FA1"/>
    <w:rsid w:val="00D50C13"/>
    <w:rsid w:val="00D53C4B"/>
    <w:rsid w:val="00D53DAD"/>
    <w:rsid w:val="00D55337"/>
    <w:rsid w:val="00D60DBE"/>
    <w:rsid w:val="00D62F8A"/>
    <w:rsid w:val="00D63B01"/>
    <w:rsid w:val="00D642ED"/>
    <w:rsid w:val="00D6470B"/>
    <w:rsid w:val="00D648CB"/>
    <w:rsid w:val="00D6579A"/>
    <w:rsid w:val="00D70802"/>
    <w:rsid w:val="00D70BB9"/>
    <w:rsid w:val="00D71354"/>
    <w:rsid w:val="00D72C73"/>
    <w:rsid w:val="00D764BF"/>
    <w:rsid w:val="00D7680D"/>
    <w:rsid w:val="00D774B5"/>
    <w:rsid w:val="00D77E91"/>
    <w:rsid w:val="00D80407"/>
    <w:rsid w:val="00D827A8"/>
    <w:rsid w:val="00D83479"/>
    <w:rsid w:val="00D84017"/>
    <w:rsid w:val="00D857C3"/>
    <w:rsid w:val="00D85C63"/>
    <w:rsid w:val="00D85E16"/>
    <w:rsid w:val="00D860B0"/>
    <w:rsid w:val="00D866DB"/>
    <w:rsid w:val="00D87729"/>
    <w:rsid w:val="00D87DCE"/>
    <w:rsid w:val="00D908FF"/>
    <w:rsid w:val="00D92849"/>
    <w:rsid w:val="00D92B3F"/>
    <w:rsid w:val="00D93A72"/>
    <w:rsid w:val="00D93E20"/>
    <w:rsid w:val="00D960F4"/>
    <w:rsid w:val="00D96149"/>
    <w:rsid w:val="00DA1EC6"/>
    <w:rsid w:val="00DA289E"/>
    <w:rsid w:val="00DA2CEB"/>
    <w:rsid w:val="00DA3362"/>
    <w:rsid w:val="00DA342E"/>
    <w:rsid w:val="00DA40A5"/>
    <w:rsid w:val="00DA40F7"/>
    <w:rsid w:val="00DA44B3"/>
    <w:rsid w:val="00DA4573"/>
    <w:rsid w:val="00DA496E"/>
    <w:rsid w:val="00DB1B55"/>
    <w:rsid w:val="00DB25D6"/>
    <w:rsid w:val="00DB4B58"/>
    <w:rsid w:val="00DB4EEF"/>
    <w:rsid w:val="00DB4FFC"/>
    <w:rsid w:val="00DB5DCE"/>
    <w:rsid w:val="00DC121D"/>
    <w:rsid w:val="00DC1940"/>
    <w:rsid w:val="00DC21D0"/>
    <w:rsid w:val="00DC3CB6"/>
    <w:rsid w:val="00DC3DB5"/>
    <w:rsid w:val="00DC4633"/>
    <w:rsid w:val="00DC7485"/>
    <w:rsid w:val="00DD12FF"/>
    <w:rsid w:val="00DD2BED"/>
    <w:rsid w:val="00DD38C2"/>
    <w:rsid w:val="00DD3C38"/>
    <w:rsid w:val="00DD4723"/>
    <w:rsid w:val="00DD4889"/>
    <w:rsid w:val="00DD5080"/>
    <w:rsid w:val="00DD54A9"/>
    <w:rsid w:val="00DE0B8A"/>
    <w:rsid w:val="00DE17A3"/>
    <w:rsid w:val="00DE5536"/>
    <w:rsid w:val="00DE558F"/>
    <w:rsid w:val="00DE70F4"/>
    <w:rsid w:val="00DF0EAA"/>
    <w:rsid w:val="00DF1374"/>
    <w:rsid w:val="00DF1E71"/>
    <w:rsid w:val="00DF24B5"/>
    <w:rsid w:val="00DF26FF"/>
    <w:rsid w:val="00DF2AFC"/>
    <w:rsid w:val="00DF3795"/>
    <w:rsid w:val="00DF3CB1"/>
    <w:rsid w:val="00DF5192"/>
    <w:rsid w:val="00DF7596"/>
    <w:rsid w:val="00E014AE"/>
    <w:rsid w:val="00E02A0C"/>
    <w:rsid w:val="00E06A8F"/>
    <w:rsid w:val="00E07027"/>
    <w:rsid w:val="00E10066"/>
    <w:rsid w:val="00E10829"/>
    <w:rsid w:val="00E10DA5"/>
    <w:rsid w:val="00E113A3"/>
    <w:rsid w:val="00E121A3"/>
    <w:rsid w:val="00E121BF"/>
    <w:rsid w:val="00E14069"/>
    <w:rsid w:val="00E1416A"/>
    <w:rsid w:val="00E15465"/>
    <w:rsid w:val="00E173D9"/>
    <w:rsid w:val="00E20536"/>
    <w:rsid w:val="00E20F50"/>
    <w:rsid w:val="00E21548"/>
    <w:rsid w:val="00E21755"/>
    <w:rsid w:val="00E2195F"/>
    <w:rsid w:val="00E221A2"/>
    <w:rsid w:val="00E23333"/>
    <w:rsid w:val="00E24F07"/>
    <w:rsid w:val="00E25727"/>
    <w:rsid w:val="00E25BCE"/>
    <w:rsid w:val="00E26EC3"/>
    <w:rsid w:val="00E27604"/>
    <w:rsid w:val="00E27DF8"/>
    <w:rsid w:val="00E31F45"/>
    <w:rsid w:val="00E321F0"/>
    <w:rsid w:val="00E337F9"/>
    <w:rsid w:val="00E33ED7"/>
    <w:rsid w:val="00E3535B"/>
    <w:rsid w:val="00E35C01"/>
    <w:rsid w:val="00E36517"/>
    <w:rsid w:val="00E40D5A"/>
    <w:rsid w:val="00E42646"/>
    <w:rsid w:val="00E44E0C"/>
    <w:rsid w:val="00E44F60"/>
    <w:rsid w:val="00E472D5"/>
    <w:rsid w:val="00E47644"/>
    <w:rsid w:val="00E51A79"/>
    <w:rsid w:val="00E55B86"/>
    <w:rsid w:val="00E564D3"/>
    <w:rsid w:val="00E56DE0"/>
    <w:rsid w:val="00E6082E"/>
    <w:rsid w:val="00E609D0"/>
    <w:rsid w:val="00E610FE"/>
    <w:rsid w:val="00E61270"/>
    <w:rsid w:val="00E65EDE"/>
    <w:rsid w:val="00E67BB4"/>
    <w:rsid w:val="00E71FB7"/>
    <w:rsid w:val="00E74091"/>
    <w:rsid w:val="00E76454"/>
    <w:rsid w:val="00E76E3A"/>
    <w:rsid w:val="00E7783B"/>
    <w:rsid w:val="00E81A73"/>
    <w:rsid w:val="00E8353C"/>
    <w:rsid w:val="00E83ED2"/>
    <w:rsid w:val="00E84DB6"/>
    <w:rsid w:val="00E85A50"/>
    <w:rsid w:val="00E867D3"/>
    <w:rsid w:val="00E86E74"/>
    <w:rsid w:val="00E912F9"/>
    <w:rsid w:val="00E94DF3"/>
    <w:rsid w:val="00E9565A"/>
    <w:rsid w:val="00E96277"/>
    <w:rsid w:val="00EA2234"/>
    <w:rsid w:val="00EA2356"/>
    <w:rsid w:val="00EA4BD5"/>
    <w:rsid w:val="00EB0954"/>
    <w:rsid w:val="00EB0C78"/>
    <w:rsid w:val="00EB1FB9"/>
    <w:rsid w:val="00EB2654"/>
    <w:rsid w:val="00EB2CE1"/>
    <w:rsid w:val="00EB302B"/>
    <w:rsid w:val="00EB3481"/>
    <w:rsid w:val="00EB34E9"/>
    <w:rsid w:val="00EB5AD4"/>
    <w:rsid w:val="00EB6B52"/>
    <w:rsid w:val="00EB7F37"/>
    <w:rsid w:val="00EC147C"/>
    <w:rsid w:val="00EC1805"/>
    <w:rsid w:val="00EC1AB6"/>
    <w:rsid w:val="00EC454E"/>
    <w:rsid w:val="00EC6AF4"/>
    <w:rsid w:val="00EC75DE"/>
    <w:rsid w:val="00ED1B12"/>
    <w:rsid w:val="00ED40C9"/>
    <w:rsid w:val="00ED4BCB"/>
    <w:rsid w:val="00ED5072"/>
    <w:rsid w:val="00ED5E45"/>
    <w:rsid w:val="00ED7765"/>
    <w:rsid w:val="00ED7A32"/>
    <w:rsid w:val="00EE1312"/>
    <w:rsid w:val="00EE1F88"/>
    <w:rsid w:val="00EE2487"/>
    <w:rsid w:val="00EE479B"/>
    <w:rsid w:val="00EE5FFA"/>
    <w:rsid w:val="00EE6F29"/>
    <w:rsid w:val="00EF2CC3"/>
    <w:rsid w:val="00EF30CB"/>
    <w:rsid w:val="00EF4999"/>
    <w:rsid w:val="00EF6BCA"/>
    <w:rsid w:val="00F00299"/>
    <w:rsid w:val="00F002E6"/>
    <w:rsid w:val="00F0171E"/>
    <w:rsid w:val="00F0277F"/>
    <w:rsid w:val="00F0341F"/>
    <w:rsid w:val="00F04305"/>
    <w:rsid w:val="00F04B30"/>
    <w:rsid w:val="00F052D1"/>
    <w:rsid w:val="00F05E9A"/>
    <w:rsid w:val="00F05ECE"/>
    <w:rsid w:val="00F10D8D"/>
    <w:rsid w:val="00F14478"/>
    <w:rsid w:val="00F14A5E"/>
    <w:rsid w:val="00F15421"/>
    <w:rsid w:val="00F15A50"/>
    <w:rsid w:val="00F162A8"/>
    <w:rsid w:val="00F178E3"/>
    <w:rsid w:val="00F17954"/>
    <w:rsid w:val="00F17D01"/>
    <w:rsid w:val="00F17F36"/>
    <w:rsid w:val="00F207D4"/>
    <w:rsid w:val="00F20CB4"/>
    <w:rsid w:val="00F23AE6"/>
    <w:rsid w:val="00F24AAE"/>
    <w:rsid w:val="00F2540C"/>
    <w:rsid w:val="00F25DFE"/>
    <w:rsid w:val="00F26CE1"/>
    <w:rsid w:val="00F2747A"/>
    <w:rsid w:val="00F304D2"/>
    <w:rsid w:val="00F33A0F"/>
    <w:rsid w:val="00F34E16"/>
    <w:rsid w:val="00F35E75"/>
    <w:rsid w:val="00F3663D"/>
    <w:rsid w:val="00F36BA7"/>
    <w:rsid w:val="00F37149"/>
    <w:rsid w:val="00F4131A"/>
    <w:rsid w:val="00F413AC"/>
    <w:rsid w:val="00F423CB"/>
    <w:rsid w:val="00F45B46"/>
    <w:rsid w:val="00F45C0A"/>
    <w:rsid w:val="00F473BB"/>
    <w:rsid w:val="00F47E72"/>
    <w:rsid w:val="00F50E0E"/>
    <w:rsid w:val="00F52482"/>
    <w:rsid w:val="00F528B3"/>
    <w:rsid w:val="00F5349E"/>
    <w:rsid w:val="00F538A6"/>
    <w:rsid w:val="00F53A01"/>
    <w:rsid w:val="00F53B46"/>
    <w:rsid w:val="00F54D3A"/>
    <w:rsid w:val="00F5597B"/>
    <w:rsid w:val="00F55C29"/>
    <w:rsid w:val="00F55DBC"/>
    <w:rsid w:val="00F55F84"/>
    <w:rsid w:val="00F56E85"/>
    <w:rsid w:val="00F600B8"/>
    <w:rsid w:val="00F60948"/>
    <w:rsid w:val="00F60ECB"/>
    <w:rsid w:val="00F64087"/>
    <w:rsid w:val="00F651E6"/>
    <w:rsid w:val="00F66811"/>
    <w:rsid w:val="00F67E3C"/>
    <w:rsid w:val="00F70142"/>
    <w:rsid w:val="00F7033D"/>
    <w:rsid w:val="00F70550"/>
    <w:rsid w:val="00F72359"/>
    <w:rsid w:val="00F72C9F"/>
    <w:rsid w:val="00F72CFA"/>
    <w:rsid w:val="00F73C04"/>
    <w:rsid w:val="00F73C6E"/>
    <w:rsid w:val="00F74215"/>
    <w:rsid w:val="00F75E17"/>
    <w:rsid w:val="00F7788A"/>
    <w:rsid w:val="00F80318"/>
    <w:rsid w:val="00F80F1E"/>
    <w:rsid w:val="00F811F2"/>
    <w:rsid w:val="00F82E9D"/>
    <w:rsid w:val="00F82FB5"/>
    <w:rsid w:val="00F83265"/>
    <w:rsid w:val="00F862E4"/>
    <w:rsid w:val="00F86978"/>
    <w:rsid w:val="00F8706A"/>
    <w:rsid w:val="00F874D2"/>
    <w:rsid w:val="00F87888"/>
    <w:rsid w:val="00F87C63"/>
    <w:rsid w:val="00F90CB7"/>
    <w:rsid w:val="00F92DD8"/>
    <w:rsid w:val="00F94E20"/>
    <w:rsid w:val="00F94E8A"/>
    <w:rsid w:val="00F9568C"/>
    <w:rsid w:val="00F9642B"/>
    <w:rsid w:val="00F9667F"/>
    <w:rsid w:val="00F9783E"/>
    <w:rsid w:val="00FA0006"/>
    <w:rsid w:val="00FA1758"/>
    <w:rsid w:val="00FA4396"/>
    <w:rsid w:val="00FA4CF0"/>
    <w:rsid w:val="00FA508A"/>
    <w:rsid w:val="00FA5FD2"/>
    <w:rsid w:val="00FA60C5"/>
    <w:rsid w:val="00FA61B7"/>
    <w:rsid w:val="00FA6589"/>
    <w:rsid w:val="00FA763C"/>
    <w:rsid w:val="00FB029E"/>
    <w:rsid w:val="00FB106E"/>
    <w:rsid w:val="00FB3684"/>
    <w:rsid w:val="00FB4921"/>
    <w:rsid w:val="00FB5505"/>
    <w:rsid w:val="00FB58D5"/>
    <w:rsid w:val="00FB74E1"/>
    <w:rsid w:val="00FC2147"/>
    <w:rsid w:val="00FC3541"/>
    <w:rsid w:val="00FC49FB"/>
    <w:rsid w:val="00FC60CF"/>
    <w:rsid w:val="00FC625A"/>
    <w:rsid w:val="00FC7639"/>
    <w:rsid w:val="00FD17C2"/>
    <w:rsid w:val="00FD1A4E"/>
    <w:rsid w:val="00FD246B"/>
    <w:rsid w:val="00FD295D"/>
    <w:rsid w:val="00FD30FE"/>
    <w:rsid w:val="00FD396D"/>
    <w:rsid w:val="00FD3A7F"/>
    <w:rsid w:val="00FD4901"/>
    <w:rsid w:val="00FD4E64"/>
    <w:rsid w:val="00FD4F83"/>
    <w:rsid w:val="00FD55B2"/>
    <w:rsid w:val="00FD662C"/>
    <w:rsid w:val="00FD68AA"/>
    <w:rsid w:val="00FD7CAA"/>
    <w:rsid w:val="00FE028B"/>
    <w:rsid w:val="00FE1368"/>
    <w:rsid w:val="00FE1F75"/>
    <w:rsid w:val="00FE2090"/>
    <w:rsid w:val="00FE2A80"/>
    <w:rsid w:val="00FE48B8"/>
    <w:rsid w:val="00FE60EC"/>
    <w:rsid w:val="00FE7520"/>
    <w:rsid w:val="00FE785F"/>
    <w:rsid w:val="00FF0CF7"/>
    <w:rsid w:val="00FF39BD"/>
    <w:rsid w:val="00FF450E"/>
    <w:rsid w:val="00FF5316"/>
    <w:rsid w:val="00FF59FC"/>
    <w:rsid w:val="00FF71C7"/>
    <w:rsid w:val="3BD60F53"/>
    <w:rsid w:val="637A0441"/>
    <w:rsid w:val="7E987C4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pPr>
    <w:rPr>
      <w:rFonts w:asciiTheme="minorEastAsia" w:hAnsiTheme="minorHAnsi" w:eastAsiaTheme="minorEastAsia" w:cstheme="minorBidi"/>
      <w:kern w:val="2"/>
      <w:sz w:val="24"/>
      <w:szCs w:val="21"/>
      <w:lang w:val="en-US" w:eastAsia="zh-CN" w:bidi="ar-SA"/>
    </w:rPr>
  </w:style>
  <w:style w:type="paragraph" w:styleId="2">
    <w:name w:val="heading 1"/>
    <w:basedOn w:val="1"/>
    <w:next w:val="1"/>
    <w:link w:val="39"/>
    <w:qFormat/>
    <w:uiPriority w:val="9"/>
    <w:pPr>
      <w:keepNext/>
      <w:keepLines/>
      <w:spacing w:line="360" w:lineRule="auto"/>
      <w:ind w:left="1325" w:hanging="1325"/>
      <w:jc w:val="center"/>
      <w:outlineLvl w:val="0"/>
    </w:pPr>
    <w:rPr>
      <w:rFonts w:hAnsi="Calibri" w:eastAsia="黑体" w:cs="Times New Roman"/>
      <w:b/>
      <w:bCs/>
      <w:w w:val="80"/>
      <w:kern w:val="44"/>
      <w:sz w:val="36"/>
      <w:szCs w:val="44"/>
    </w:rPr>
  </w:style>
  <w:style w:type="paragraph" w:styleId="3">
    <w:name w:val="heading 2"/>
    <w:basedOn w:val="1"/>
    <w:next w:val="1"/>
    <w:link w:val="36"/>
    <w:unhideWhenUsed/>
    <w:qFormat/>
    <w:uiPriority w:val="9"/>
    <w:pPr>
      <w:keepNext/>
      <w:keepLines/>
      <w:spacing w:line="360" w:lineRule="auto"/>
      <w:ind w:left="964" w:hanging="964"/>
      <w:jc w:val="center"/>
      <w:outlineLvl w:val="1"/>
    </w:pPr>
    <w:rPr>
      <w:rFonts w:hAnsi="Cambria" w:eastAsia="黑体" w:cs="Times New Roman"/>
      <w:b/>
      <w:bCs/>
      <w:kern w:val="0"/>
      <w:sz w:val="32"/>
      <w:szCs w:val="32"/>
    </w:rPr>
  </w:style>
  <w:style w:type="paragraph" w:styleId="4">
    <w:name w:val="heading 3"/>
    <w:basedOn w:val="1"/>
    <w:next w:val="1"/>
    <w:link w:val="34"/>
    <w:unhideWhenUsed/>
    <w:qFormat/>
    <w:uiPriority w:val="9"/>
    <w:pPr>
      <w:keepNext/>
      <w:keepLines/>
      <w:outlineLvl w:val="2"/>
    </w:pPr>
    <w:rPr>
      <w:b/>
      <w:bCs/>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7"/>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5"/>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21">
    <w:name w:val="Default Paragraph Font"/>
    <w:unhideWhenUsed/>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67"/>
    <w:unhideWhenUsed/>
    <w:qFormat/>
    <w:uiPriority w:val="99"/>
    <w:rPr>
      <w:b/>
      <w:bCs/>
    </w:rPr>
  </w:style>
  <w:style w:type="paragraph" w:styleId="9">
    <w:name w:val="annotation text"/>
    <w:basedOn w:val="1"/>
    <w:link w:val="65"/>
    <w:unhideWhenUsed/>
    <w:qFormat/>
    <w:uiPriority w:val="0"/>
    <w:pPr>
      <w:jc w:val="left"/>
    </w:pPr>
  </w:style>
  <w:style w:type="paragraph" w:styleId="10">
    <w:name w:val="List Number"/>
    <w:basedOn w:val="1"/>
    <w:qFormat/>
    <w:uiPriority w:val="0"/>
    <w:pPr>
      <w:numPr>
        <w:ilvl w:val="0"/>
        <w:numId w:val="1"/>
      </w:numPr>
      <w:adjustRightInd/>
      <w:snapToGrid/>
      <w:spacing w:line="240" w:lineRule="auto"/>
    </w:pPr>
    <w:rPr>
      <w:rFonts w:ascii="Times New Roman" w:hAnsi="Times New Roman" w:eastAsia="宋体" w:cs="Times New Roman"/>
      <w:sz w:val="21"/>
      <w:szCs w:val="20"/>
    </w:rPr>
  </w:style>
  <w:style w:type="paragraph" w:styleId="11">
    <w:name w:val="toc 3"/>
    <w:basedOn w:val="1"/>
    <w:next w:val="1"/>
    <w:unhideWhenUsed/>
    <w:qFormat/>
    <w:uiPriority w:val="39"/>
    <w:pPr>
      <w:ind w:left="840" w:leftChars="400"/>
    </w:pPr>
  </w:style>
  <w:style w:type="paragraph" w:styleId="12">
    <w:name w:val="Plain Text"/>
    <w:basedOn w:val="1"/>
    <w:link w:val="79"/>
    <w:qFormat/>
    <w:uiPriority w:val="0"/>
    <w:pPr>
      <w:adjustRightInd/>
      <w:snapToGrid/>
      <w:spacing w:line="240" w:lineRule="auto"/>
    </w:pPr>
    <w:rPr>
      <w:rFonts w:ascii="宋体" w:hAnsi="Courier New" w:eastAsia="宋体" w:cs="宋体"/>
      <w:sz w:val="21"/>
    </w:rPr>
  </w:style>
  <w:style w:type="paragraph" w:styleId="13">
    <w:name w:val="Balloon Text"/>
    <w:basedOn w:val="1"/>
    <w:link w:val="66"/>
    <w:unhideWhenUsed/>
    <w:qFormat/>
    <w:uiPriority w:val="99"/>
    <w:pPr>
      <w:spacing w:line="240" w:lineRule="auto"/>
    </w:pPr>
    <w:rPr>
      <w:sz w:val="18"/>
      <w:szCs w:val="18"/>
    </w:rPr>
  </w:style>
  <w:style w:type="paragraph" w:styleId="14">
    <w:name w:val="footer"/>
    <w:basedOn w:val="1"/>
    <w:link w:val="44"/>
    <w:unhideWhenUsed/>
    <w:qFormat/>
    <w:uiPriority w:val="99"/>
    <w:pPr>
      <w:tabs>
        <w:tab w:val="center" w:pos="4153"/>
        <w:tab w:val="right" w:pos="8306"/>
      </w:tabs>
      <w:spacing w:line="240" w:lineRule="auto"/>
      <w:jc w:val="left"/>
    </w:pPr>
    <w:rPr>
      <w:sz w:val="18"/>
      <w:szCs w:val="18"/>
    </w:rPr>
  </w:style>
  <w:style w:type="paragraph" w:styleId="15">
    <w:name w:val="header"/>
    <w:basedOn w:val="1"/>
    <w:link w:val="43"/>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6">
    <w:name w:val="toc 1"/>
    <w:basedOn w:val="1"/>
    <w:next w:val="1"/>
    <w:unhideWhenUsed/>
    <w:qFormat/>
    <w:uiPriority w:val="39"/>
  </w:style>
  <w:style w:type="paragraph" w:styleId="17">
    <w:name w:val="Subtitle"/>
    <w:basedOn w:val="1"/>
    <w:next w:val="1"/>
    <w:link w:val="55"/>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8">
    <w:name w:val="Body Text Indent 3"/>
    <w:basedOn w:val="1"/>
    <w:link w:val="77"/>
    <w:unhideWhenUsed/>
    <w:qFormat/>
    <w:uiPriority w:val="0"/>
    <w:pPr>
      <w:adjustRightInd/>
      <w:snapToGrid/>
      <w:spacing w:after="120" w:line="240" w:lineRule="auto"/>
      <w:ind w:left="420" w:leftChars="200"/>
    </w:pPr>
    <w:rPr>
      <w:rFonts w:ascii="Times New Roman" w:hAnsi="Times New Roman" w:eastAsia="宋体" w:cs="Times New Roman"/>
      <w:sz w:val="16"/>
      <w:szCs w:val="16"/>
    </w:rPr>
  </w:style>
  <w:style w:type="paragraph" w:styleId="19">
    <w:name w:val="toc 2"/>
    <w:basedOn w:val="1"/>
    <w:next w:val="1"/>
    <w:unhideWhenUsed/>
    <w:qFormat/>
    <w:uiPriority w:val="39"/>
    <w:pPr>
      <w:ind w:left="420" w:leftChars="200"/>
    </w:pPr>
  </w:style>
  <w:style w:type="paragraph" w:styleId="20">
    <w:name w:val="Title"/>
    <w:basedOn w:val="1"/>
    <w:next w:val="1"/>
    <w:link w:val="54"/>
    <w:qFormat/>
    <w:uiPriority w:val="10"/>
    <w:pPr>
      <w:spacing w:before="240" w:after="60"/>
      <w:jc w:val="center"/>
      <w:outlineLvl w:val="0"/>
    </w:pPr>
    <w:rPr>
      <w:rFonts w:asciiTheme="majorHAnsi" w:hAnsiTheme="majorHAnsi" w:cstheme="majorBidi"/>
      <w:b/>
      <w:bCs/>
      <w:sz w:val="32"/>
      <w:szCs w:val="32"/>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14:textFill>
        <w14:solidFill>
          <w14:schemeClr w14:val="folHlink"/>
        </w14:solidFill>
      </w14:textFill>
    </w:rPr>
  </w:style>
  <w:style w:type="character" w:styleId="24">
    <w:name w:val="Emphasis"/>
    <w:basedOn w:val="21"/>
    <w:qFormat/>
    <w:uiPriority w:val="20"/>
    <w:rPr>
      <w:i/>
      <w:iCs/>
    </w:rPr>
  </w:style>
  <w:style w:type="character" w:styleId="25">
    <w:name w:val="Hyperlink"/>
    <w:basedOn w:val="21"/>
    <w:unhideWhenUsed/>
    <w:qFormat/>
    <w:uiPriority w:val="99"/>
    <w:rPr>
      <w:color w:val="0000FF" w:themeColor="hyperlink"/>
      <w:u w:val="single"/>
      <w14:textFill>
        <w14:solidFill>
          <w14:schemeClr w14:val="hlink"/>
        </w14:solidFill>
      </w14:textFill>
    </w:rPr>
  </w:style>
  <w:style w:type="character" w:styleId="26">
    <w:name w:val="annotation reference"/>
    <w:basedOn w:val="21"/>
    <w:unhideWhenUsed/>
    <w:qFormat/>
    <w:uiPriority w:val="0"/>
    <w:rPr>
      <w:sz w:val="21"/>
      <w:szCs w:val="21"/>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9">
    <w:name w:val="标题3-技术需求"/>
    <w:basedOn w:val="4"/>
    <w:qFormat/>
    <w:uiPriority w:val="0"/>
    <w:pPr>
      <w:numPr>
        <w:ilvl w:val="1"/>
        <w:numId w:val="2"/>
      </w:numPr>
      <w:spacing w:line="360" w:lineRule="auto"/>
    </w:pPr>
    <w:rPr>
      <w:rFonts w:hAnsi="宋体" w:cs="宋体"/>
      <w:kern w:val="0"/>
      <w:szCs w:val="24"/>
    </w:rPr>
  </w:style>
  <w:style w:type="paragraph" w:customStyle="1" w:styleId="30">
    <w:name w:val="标题6-技术需求"/>
    <w:basedOn w:val="7"/>
    <w:qFormat/>
    <w:uiPriority w:val="0"/>
    <w:pPr>
      <w:numPr>
        <w:ilvl w:val="4"/>
        <w:numId w:val="2"/>
      </w:numPr>
      <w:spacing w:before="0" w:after="0" w:line="360" w:lineRule="auto"/>
    </w:pPr>
    <w:rPr>
      <w:rFonts w:ascii="Cambria" w:hAnsi="Cambria" w:eastAsia="宋体" w:cs="Times New Roman"/>
    </w:rPr>
  </w:style>
  <w:style w:type="paragraph" w:customStyle="1" w:styleId="31">
    <w:name w:val="标题2-技术需求"/>
    <w:basedOn w:val="3"/>
    <w:qFormat/>
    <w:uiPriority w:val="0"/>
    <w:pPr>
      <w:numPr>
        <w:ilvl w:val="0"/>
        <w:numId w:val="2"/>
      </w:numPr>
    </w:pPr>
    <w:rPr>
      <w:rFonts w:hAnsi="宋体" w:cs="宋体"/>
    </w:rPr>
  </w:style>
  <w:style w:type="paragraph" w:customStyle="1" w:styleId="32">
    <w:name w:val="标题5-技术需求"/>
    <w:basedOn w:val="6"/>
    <w:qFormat/>
    <w:uiPriority w:val="0"/>
    <w:pPr>
      <w:numPr>
        <w:ilvl w:val="3"/>
        <w:numId w:val="2"/>
      </w:numPr>
      <w:spacing w:before="0" w:after="0" w:line="360" w:lineRule="auto"/>
    </w:pPr>
    <w:rPr>
      <w:rFonts w:hAnsi="Calibri" w:cs="Times New Roman"/>
      <w:sz w:val="24"/>
    </w:rPr>
  </w:style>
  <w:style w:type="paragraph" w:customStyle="1" w:styleId="33">
    <w:name w:val="标题4-技术需求"/>
    <w:basedOn w:val="5"/>
    <w:qFormat/>
    <w:uiPriority w:val="0"/>
    <w:pPr>
      <w:numPr>
        <w:ilvl w:val="2"/>
        <w:numId w:val="2"/>
      </w:numPr>
      <w:spacing w:before="0" w:after="0" w:line="360" w:lineRule="auto"/>
    </w:pPr>
    <w:rPr>
      <w:rFonts w:ascii="宋体" w:hAnsi="宋体" w:eastAsia="宋体" w:cs="宋体"/>
      <w:sz w:val="24"/>
      <w:szCs w:val="24"/>
    </w:rPr>
  </w:style>
  <w:style w:type="character" w:customStyle="1" w:styleId="34">
    <w:name w:val="标题 3 Char"/>
    <w:basedOn w:val="21"/>
    <w:link w:val="4"/>
    <w:qFormat/>
    <w:uiPriority w:val="9"/>
    <w:rPr>
      <w:rFonts w:asciiTheme="minorEastAsia"/>
      <w:b/>
      <w:bCs/>
      <w:sz w:val="24"/>
      <w:szCs w:val="32"/>
    </w:rPr>
  </w:style>
  <w:style w:type="character" w:customStyle="1" w:styleId="35">
    <w:name w:val="标题 6 Char"/>
    <w:basedOn w:val="21"/>
    <w:link w:val="7"/>
    <w:semiHidden/>
    <w:qFormat/>
    <w:uiPriority w:val="9"/>
    <w:rPr>
      <w:rFonts w:asciiTheme="majorHAnsi" w:hAnsiTheme="majorHAnsi" w:eastAsiaTheme="majorEastAsia" w:cstheme="majorBidi"/>
      <w:b/>
      <w:bCs/>
      <w:sz w:val="24"/>
      <w:szCs w:val="24"/>
    </w:rPr>
  </w:style>
  <w:style w:type="character" w:customStyle="1" w:styleId="36">
    <w:name w:val="标题 2 Char"/>
    <w:basedOn w:val="21"/>
    <w:link w:val="3"/>
    <w:qFormat/>
    <w:uiPriority w:val="0"/>
    <w:rPr>
      <w:rFonts w:hAnsi="Cambria" w:eastAsia="黑体" w:cs="Times New Roman" w:asciiTheme="minorEastAsia"/>
      <w:b/>
      <w:bCs/>
      <w:kern w:val="0"/>
      <w:sz w:val="32"/>
      <w:szCs w:val="32"/>
    </w:rPr>
  </w:style>
  <w:style w:type="character" w:customStyle="1" w:styleId="37">
    <w:name w:val="标题 5 Char"/>
    <w:basedOn w:val="21"/>
    <w:link w:val="6"/>
    <w:semiHidden/>
    <w:qFormat/>
    <w:uiPriority w:val="9"/>
    <w:rPr>
      <w:b/>
      <w:bCs/>
      <w:sz w:val="28"/>
      <w:szCs w:val="28"/>
    </w:rPr>
  </w:style>
  <w:style w:type="character" w:customStyle="1" w:styleId="38">
    <w:name w:val="标题 4 Char"/>
    <w:basedOn w:val="21"/>
    <w:link w:val="5"/>
    <w:semiHidden/>
    <w:qFormat/>
    <w:uiPriority w:val="9"/>
    <w:rPr>
      <w:rFonts w:asciiTheme="majorHAnsi" w:hAnsiTheme="majorHAnsi" w:eastAsiaTheme="majorEastAsia" w:cstheme="majorBidi"/>
      <w:b/>
      <w:bCs/>
      <w:sz w:val="28"/>
      <w:szCs w:val="28"/>
    </w:rPr>
  </w:style>
  <w:style w:type="character" w:customStyle="1" w:styleId="39">
    <w:name w:val="标题 1 Char"/>
    <w:basedOn w:val="21"/>
    <w:link w:val="2"/>
    <w:qFormat/>
    <w:uiPriority w:val="9"/>
    <w:rPr>
      <w:rFonts w:hAnsi="Calibri" w:eastAsia="黑体" w:cs="Times New Roman" w:asciiTheme="minorEastAsia"/>
      <w:b/>
      <w:bCs/>
      <w:w w:val="80"/>
      <w:kern w:val="44"/>
      <w:sz w:val="36"/>
      <w:szCs w:val="44"/>
    </w:rPr>
  </w:style>
  <w:style w:type="paragraph" w:customStyle="1" w:styleId="40">
    <w:name w:val="正文-投标邀请"/>
    <w:basedOn w:val="1"/>
    <w:qFormat/>
    <w:uiPriority w:val="0"/>
    <w:pPr>
      <w:spacing w:line="360" w:lineRule="auto"/>
    </w:pPr>
    <w:rPr>
      <w:sz w:val="28"/>
    </w:rPr>
  </w:style>
  <w:style w:type="paragraph" w:customStyle="1" w:styleId="41">
    <w:name w:val="正文须知-1级"/>
    <w:basedOn w:val="1"/>
    <w:next w:val="1"/>
    <w:qFormat/>
    <w:uiPriority w:val="0"/>
    <w:pPr>
      <w:numPr>
        <w:ilvl w:val="0"/>
        <w:numId w:val="3"/>
      </w:numPr>
    </w:pPr>
    <w:rPr>
      <w:rFonts w:hAnsi="Calibri" w:cs="Times New Roman"/>
    </w:rPr>
  </w:style>
  <w:style w:type="paragraph" w:customStyle="1" w:styleId="42">
    <w:name w:val="正文须知-2级"/>
    <w:basedOn w:val="1"/>
    <w:qFormat/>
    <w:uiPriority w:val="0"/>
    <w:pPr>
      <w:numPr>
        <w:ilvl w:val="1"/>
        <w:numId w:val="3"/>
      </w:numPr>
    </w:pPr>
  </w:style>
  <w:style w:type="character" w:customStyle="1" w:styleId="43">
    <w:name w:val="页眉 Char"/>
    <w:basedOn w:val="21"/>
    <w:link w:val="15"/>
    <w:qFormat/>
    <w:uiPriority w:val="99"/>
    <w:rPr>
      <w:rFonts w:ascii="宋体" w:eastAsia="宋体"/>
      <w:sz w:val="18"/>
      <w:szCs w:val="18"/>
    </w:rPr>
  </w:style>
  <w:style w:type="character" w:customStyle="1" w:styleId="44">
    <w:name w:val="页脚 Char"/>
    <w:basedOn w:val="21"/>
    <w:link w:val="14"/>
    <w:qFormat/>
    <w:uiPriority w:val="99"/>
    <w:rPr>
      <w:rFonts w:ascii="宋体" w:eastAsia="宋体"/>
      <w:sz w:val="18"/>
      <w:szCs w:val="18"/>
    </w:rPr>
  </w:style>
  <w:style w:type="paragraph" w:customStyle="1" w:styleId="45">
    <w:name w:val="附件六二级标题"/>
    <w:basedOn w:val="4"/>
    <w:next w:val="1"/>
    <w:qFormat/>
    <w:uiPriority w:val="0"/>
    <w:pPr>
      <w:spacing w:line="240" w:lineRule="auto"/>
      <w:jc w:val="center"/>
    </w:pPr>
    <w:rPr>
      <w:rFonts w:hAnsi="宋体" w:cs="Times New Roman"/>
      <w:sz w:val="28"/>
    </w:rPr>
  </w:style>
  <w:style w:type="paragraph" w:customStyle="1" w:styleId="46">
    <w:name w:val="正文-首缩2字符"/>
    <w:basedOn w:val="1"/>
    <w:qFormat/>
    <w:uiPriority w:val="99"/>
    <w:pPr>
      <w:ind w:firstLine="200" w:firstLineChars="200"/>
      <w:jc w:val="left"/>
    </w:pPr>
    <w:rPr>
      <w:rFonts w:hAnsi="宋体" w:cs="宋体"/>
      <w:szCs w:val="24"/>
    </w:rPr>
  </w:style>
  <w:style w:type="paragraph" w:customStyle="1" w:styleId="47">
    <w:name w:val="列出段落1"/>
    <w:basedOn w:val="1"/>
    <w:link w:val="69"/>
    <w:qFormat/>
    <w:uiPriority w:val="34"/>
    <w:pPr>
      <w:ind w:firstLine="420" w:firstLineChars="200"/>
    </w:pPr>
  </w:style>
  <w:style w:type="paragraph" w:customStyle="1" w:styleId="48">
    <w:name w:val="附件六"/>
    <w:basedOn w:val="1"/>
    <w:qFormat/>
    <w:uiPriority w:val="0"/>
    <w:pPr>
      <w:numPr>
        <w:ilvl w:val="0"/>
        <w:numId w:val="4"/>
      </w:numPr>
      <w:spacing w:line="360" w:lineRule="auto"/>
      <w:jc w:val="left"/>
    </w:pPr>
    <w:rPr>
      <w:rFonts w:hAnsi="宋体" w:cs="Times New Roman"/>
    </w:rPr>
  </w:style>
  <w:style w:type="paragraph" w:customStyle="1" w:styleId="49">
    <w:name w:val="须知前附表-带自动编号"/>
    <w:basedOn w:val="50"/>
    <w:next w:val="1"/>
    <w:qFormat/>
    <w:uiPriority w:val="0"/>
    <w:pPr>
      <w:numPr>
        <w:ilvl w:val="0"/>
        <w:numId w:val="5"/>
      </w:numPr>
      <w:tabs>
        <w:tab w:val="left" w:pos="536"/>
      </w:tabs>
      <w:spacing w:line="240" w:lineRule="auto"/>
    </w:pPr>
    <w:rPr>
      <w:rFonts w:ascii="仿宋_GB2312" w:eastAsia="仿宋_GB2312"/>
    </w:rPr>
  </w:style>
  <w:style w:type="paragraph" w:customStyle="1" w:styleId="50">
    <w:name w:val="正文须知"/>
    <w:basedOn w:val="1"/>
    <w:next w:val="1"/>
    <w:qFormat/>
    <w:uiPriority w:val="0"/>
    <w:pPr>
      <w:ind w:left="419" w:hanging="720"/>
    </w:pPr>
    <w:rPr>
      <w:rFonts w:hAnsi="Calibri" w:cs="Times New Roman"/>
    </w:rPr>
  </w:style>
  <w:style w:type="paragraph" w:customStyle="1" w:styleId="51">
    <w:name w:val="正文-须知前附表"/>
    <w:basedOn w:val="1"/>
    <w:next w:val="1"/>
    <w:qFormat/>
    <w:uiPriority w:val="0"/>
    <w:pPr>
      <w:spacing w:line="240" w:lineRule="auto"/>
    </w:pPr>
    <w:rPr>
      <w:rFonts w:ascii="仿宋_GB2312" w:hAnsi="Calibri" w:eastAsia="仿宋_GB2312" w:cs="Times New Roman"/>
    </w:rPr>
  </w:style>
  <w:style w:type="paragraph" w:customStyle="1" w:styleId="52">
    <w:name w:val="正文-前附表资格证明文件"/>
    <w:basedOn w:val="1"/>
    <w:next w:val="1"/>
    <w:qFormat/>
    <w:uiPriority w:val="0"/>
    <w:pPr>
      <w:ind w:hanging="150" w:hangingChars="150"/>
    </w:pPr>
  </w:style>
  <w:style w:type="paragraph" w:customStyle="1" w:styleId="53">
    <w:name w:val="无间隔1"/>
    <w:qFormat/>
    <w:uiPriority w:val="1"/>
    <w:pPr>
      <w:widowControl w:val="0"/>
      <w:adjustRightInd w:val="0"/>
      <w:snapToGrid w:val="0"/>
      <w:jc w:val="both"/>
    </w:pPr>
    <w:rPr>
      <w:rFonts w:ascii="宋体" w:eastAsia="宋体" w:hAnsiTheme="minorHAnsi" w:cstheme="minorBidi"/>
      <w:kern w:val="2"/>
      <w:sz w:val="24"/>
      <w:szCs w:val="21"/>
      <w:lang w:val="en-US" w:eastAsia="zh-CN" w:bidi="ar-SA"/>
    </w:rPr>
  </w:style>
  <w:style w:type="character" w:customStyle="1" w:styleId="54">
    <w:name w:val="标题 Char"/>
    <w:basedOn w:val="21"/>
    <w:link w:val="20"/>
    <w:qFormat/>
    <w:uiPriority w:val="10"/>
    <w:rPr>
      <w:rFonts w:eastAsia="宋体" w:asciiTheme="majorHAnsi" w:hAnsiTheme="majorHAnsi" w:cstheme="majorBidi"/>
      <w:b/>
      <w:bCs/>
      <w:sz w:val="32"/>
      <w:szCs w:val="32"/>
    </w:rPr>
  </w:style>
  <w:style w:type="character" w:customStyle="1" w:styleId="55">
    <w:name w:val="副标题 Char"/>
    <w:basedOn w:val="21"/>
    <w:link w:val="17"/>
    <w:qFormat/>
    <w:uiPriority w:val="11"/>
    <w:rPr>
      <w:rFonts w:eastAsia="宋体" w:asciiTheme="majorHAnsi" w:hAnsiTheme="majorHAnsi" w:cstheme="majorBidi"/>
      <w:b/>
      <w:bCs/>
      <w:kern w:val="28"/>
      <w:sz w:val="32"/>
      <w:szCs w:val="32"/>
    </w:rPr>
  </w:style>
  <w:style w:type="character" w:customStyle="1" w:styleId="56">
    <w:name w:val="不明显强调1"/>
    <w:basedOn w:val="21"/>
    <w:qFormat/>
    <w:uiPriority w:val="19"/>
    <w:rPr>
      <w:i/>
      <w:iCs/>
      <w:color w:val="808080" w:themeColor="text1" w:themeTint="80"/>
      <w14:textFill>
        <w14:solidFill>
          <w14:schemeClr w14:val="tx1">
            <w14:lumMod w14:val="50000"/>
            <w14:lumOff w14:val="50000"/>
          </w14:schemeClr>
        </w14:solidFill>
      </w14:textFill>
    </w:rPr>
  </w:style>
  <w:style w:type="character" w:customStyle="1" w:styleId="57">
    <w:name w:val="明显强调1"/>
    <w:basedOn w:val="21"/>
    <w:qFormat/>
    <w:uiPriority w:val="21"/>
    <w:rPr>
      <w:b/>
      <w:bCs/>
      <w:i/>
      <w:iCs/>
      <w:color w:val="4F81BD" w:themeColor="accent1"/>
      <w14:textFill>
        <w14:solidFill>
          <w14:schemeClr w14:val="accent1"/>
        </w14:solidFill>
      </w14:textFill>
    </w:rPr>
  </w:style>
  <w:style w:type="paragraph" w:customStyle="1" w:styleId="58">
    <w:name w:val="引用1"/>
    <w:basedOn w:val="1"/>
    <w:next w:val="1"/>
    <w:link w:val="59"/>
    <w:qFormat/>
    <w:uiPriority w:val="29"/>
    <w:rPr>
      <w:i/>
      <w:iCs/>
      <w:color w:val="000000" w:themeColor="text1"/>
      <w14:textFill>
        <w14:solidFill>
          <w14:schemeClr w14:val="tx1"/>
        </w14:solidFill>
      </w14:textFill>
    </w:rPr>
  </w:style>
  <w:style w:type="character" w:customStyle="1" w:styleId="59">
    <w:name w:val="引用 Char"/>
    <w:basedOn w:val="21"/>
    <w:link w:val="58"/>
    <w:qFormat/>
    <w:uiPriority w:val="29"/>
    <w:rPr>
      <w:rFonts w:ascii="宋体" w:eastAsia="宋体"/>
      <w:i/>
      <w:iCs/>
      <w:color w:val="000000" w:themeColor="text1"/>
      <w:sz w:val="24"/>
      <w14:textFill>
        <w14:solidFill>
          <w14:schemeClr w14:val="tx1"/>
        </w14:solidFill>
      </w14:textFill>
    </w:rPr>
  </w:style>
  <w:style w:type="paragraph" w:customStyle="1" w:styleId="60">
    <w:name w:val="明显引用1"/>
    <w:basedOn w:val="1"/>
    <w:next w:val="1"/>
    <w:link w:val="61"/>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61">
    <w:name w:val="明显引用 Char"/>
    <w:basedOn w:val="21"/>
    <w:link w:val="60"/>
    <w:qFormat/>
    <w:uiPriority w:val="30"/>
    <w:rPr>
      <w:rFonts w:ascii="宋体" w:eastAsia="宋体"/>
      <w:b/>
      <w:bCs/>
      <w:i/>
      <w:iCs/>
      <w:color w:val="4F81BD" w:themeColor="accent1"/>
      <w:sz w:val="24"/>
      <w14:textFill>
        <w14:solidFill>
          <w14:schemeClr w14:val="accent1"/>
        </w14:solidFill>
      </w14:textFill>
    </w:rPr>
  </w:style>
  <w:style w:type="character" w:customStyle="1" w:styleId="62">
    <w:name w:val="不明显参考1"/>
    <w:basedOn w:val="21"/>
    <w:qFormat/>
    <w:uiPriority w:val="31"/>
    <w:rPr>
      <w:smallCaps/>
      <w:color w:val="C0504D" w:themeColor="accent2"/>
      <w:u w:val="single"/>
      <w14:textFill>
        <w14:solidFill>
          <w14:schemeClr w14:val="accent2"/>
        </w14:solidFill>
      </w14:textFill>
    </w:rPr>
  </w:style>
  <w:style w:type="character" w:customStyle="1" w:styleId="63">
    <w:name w:val="明显参考1"/>
    <w:basedOn w:val="21"/>
    <w:qFormat/>
    <w:uiPriority w:val="32"/>
    <w:rPr>
      <w:b/>
      <w:bCs/>
      <w:smallCaps/>
      <w:color w:val="C0504D" w:themeColor="accent2"/>
      <w:spacing w:val="5"/>
      <w:u w:val="single"/>
      <w14:textFill>
        <w14:solidFill>
          <w14:schemeClr w14:val="accent2"/>
        </w14:solidFill>
      </w14:textFill>
    </w:rPr>
  </w:style>
  <w:style w:type="character" w:customStyle="1" w:styleId="64">
    <w:name w:val="书籍标题1"/>
    <w:basedOn w:val="21"/>
    <w:qFormat/>
    <w:uiPriority w:val="33"/>
    <w:rPr>
      <w:b/>
      <w:bCs/>
      <w:smallCaps/>
      <w:spacing w:val="5"/>
    </w:rPr>
  </w:style>
  <w:style w:type="character" w:customStyle="1" w:styleId="65">
    <w:name w:val="批注文字 Char"/>
    <w:basedOn w:val="21"/>
    <w:link w:val="9"/>
    <w:qFormat/>
    <w:uiPriority w:val="0"/>
    <w:rPr>
      <w:rFonts w:asciiTheme="minorEastAsia"/>
      <w:sz w:val="24"/>
    </w:rPr>
  </w:style>
  <w:style w:type="character" w:customStyle="1" w:styleId="66">
    <w:name w:val="批注框文本 Char"/>
    <w:basedOn w:val="21"/>
    <w:link w:val="13"/>
    <w:semiHidden/>
    <w:qFormat/>
    <w:uiPriority w:val="99"/>
    <w:rPr>
      <w:rFonts w:asciiTheme="minorEastAsia"/>
      <w:sz w:val="18"/>
      <w:szCs w:val="18"/>
    </w:rPr>
  </w:style>
  <w:style w:type="character" w:customStyle="1" w:styleId="67">
    <w:name w:val="批注主题 Char"/>
    <w:basedOn w:val="65"/>
    <w:link w:val="8"/>
    <w:semiHidden/>
    <w:qFormat/>
    <w:uiPriority w:val="99"/>
    <w:rPr>
      <w:rFonts w:asciiTheme="minorEastAsia"/>
      <w:b/>
      <w:bCs/>
      <w:sz w:val="24"/>
    </w:rPr>
  </w:style>
  <w:style w:type="paragraph" w:customStyle="1" w:styleId="68">
    <w:name w:val="列出段落11"/>
    <w:basedOn w:val="1"/>
    <w:qFormat/>
    <w:uiPriority w:val="99"/>
    <w:pPr>
      <w:ind w:firstLine="420" w:firstLineChars="200"/>
    </w:pPr>
    <w:rPr>
      <w:rFonts w:ascii="宋体" w:hAnsi="Calibri" w:eastAsia="宋体" w:cs="Times New Roman"/>
    </w:rPr>
  </w:style>
  <w:style w:type="character" w:customStyle="1" w:styleId="69">
    <w:name w:val="列出段落 Char"/>
    <w:link w:val="47"/>
    <w:qFormat/>
    <w:uiPriority w:val="34"/>
    <w:rPr>
      <w:rFonts w:asciiTheme="minorEastAsia"/>
      <w:sz w:val="24"/>
    </w:rPr>
  </w:style>
  <w:style w:type="character" w:customStyle="1" w:styleId="70">
    <w:name w:val="投标人须知前附表"/>
    <w:basedOn w:val="21"/>
    <w:qFormat/>
    <w:uiPriority w:val="1"/>
    <w:rPr>
      <w:rFonts w:ascii="黑体" w:hAnsi="黑体" w:eastAsia="黑体" w:cs="Times New Roman"/>
      <w:sz w:val="24"/>
    </w:rPr>
  </w:style>
  <w:style w:type="paragraph" w:customStyle="1" w:styleId="71">
    <w:name w:val="黑列表"/>
    <w:basedOn w:val="1"/>
    <w:qFormat/>
    <w:uiPriority w:val="0"/>
    <w:pPr>
      <w:widowControl/>
      <w:numPr>
        <w:ilvl w:val="0"/>
        <w:numId w:val="6"/>
      </w:numPr>
      <w:tabs>
        <w:tab w:val="left" w:pos="960"/>
        <w:tab w:val="left" w:pos="1446"/>
        <w:tab w:val="clear" w:pos="482"/>
      </w:tabs>
      <w:snapToGrid/>
      <w:ind w:left="840" w:hanging="240"/>
      <w:jc w:val="left"/>
    </w:pPr>
    <w:rPr>
      <w:rFonts w:ascii="Times New Roman" w:hAnsi="Times New Roman" w:eastAsia="宋体" w:cs="Times New Roman"/>
      <w:kern w:val="0"/>
      <w:szCs w:val="20"/>
    </w:rPr>
  </w:style>
  <w:style w:type="paragraph" w:customStyle="1" w:styleId="72">
    <w:name w:val="图文"/>
    <w:basedOn w:val="1"/>
    <w:qFormat/>
    <w:uiPriority w:val="0"/>
    <w:pPr>
      <w:spacing w:after="50" w:line="360" w:lineRule="auto"/>
    </w:pPr>
    <w:rPr>
      <w:rFonts w:ascii="Times New Roman" w:hAnsi="Times New Roman" w:eastAsia="宋体" w:cs="Times New Roman"/>
      <w:szCs w:val="24"/>
    </w:rPr>
  </w:style>
  <w:style w:type="character" w:customStyle="1" w:styleId="73">
    <w:name w:val="未处理的提及1"/>
    <w:basedOn w:val="21"/>
    <w:unhideWhenUsed/>
    <w:qFormat/>
    <w:uiPriority w:val="99"/>
    <w:rPr>
      <w:color w:val="605E5C"/>
      <w:shd w:val="clear" w:color="auto" w:fill="E1DFDD"/>
    </w:rPr>
  </w:style>
  <w:style w:type="paragraph" w:customStyle="1" w:styleId="74">
    <w:name w:val="须知前附表-带自动编号*"/>
    <w:basedOn w:val="49"/>
    <w:qFormat/>
    <w:uiPriority w:val="0"/>
    <w:pPr>
      <w:numPr>
        <w:numId w:val="7"/>
      </w:numPr>
    </w:pPr>
  </w:style>
  <w:style w:type="paragraph" w:customStyle="1" w:styleId="75">
    <w:name w:val="修订1"/>
    <w:hidden/>
    <w:semiHidden/>
    <w:qFormat/>
    <w:uiPriority w:val="99"/>
    <w:rPr>
      <w:rFonts w:asciiTheme="minorEastAsia" w:hAnsiTheme="minorHAnsi" w:eastAsiaTheme="minorEastAsia" w:cstheme="minorBidi"/>
      <w:kern w:val="2"/>
      <w:sz w:val="24"/>
      <w:szCs w:val="21"/>
      <w:lang w:val="en-US" w:eastAsia="zh-CN" w:bidi="ar-SA"/>
    </w:rPr>
  </w:style>
  <w:style w:type="character" w:customStyle="1" w:styleId="76">
    <w:name w:val="正文文本缩进 3 字符"/>
    <w:basedOn w:val="21"/>
    <w:semiHidden/>
    <w:qFormat/>
    <w:uiPriority w:val="99"/>
    <w:rPr>
      <w:rFonts w:asciiTheme="minorEastAsia"/>
      <w:sz w:val="16"/>
      <w:szCs w:val="16"/>
    </w:rPr>
  </w:style>
  <w:style w:type="character" w:customStyle="1" w:styleId="77">
    <w:name w:val="正文文本缩进 3 Char"/>
    <w:link w:val="18"/>
    <w:semiHidden/>
    <w:qFormat/>
    <w:uiPriority w:val="0"/>
    <w:rPr>
      <w:rFonts w:ascii="Times New Roman" w:hAnsi="Times New Roman" w:eastAsia="宋体" w:cs="Times New Roman"/>
      <w:sz w:val="16"/>
      <w:szCs w:val="16"/>
    </w:rPr>
  </w:style>
  <w:style w:type="paragraph" w:customStyle="1" w:styleId="78">
    <w:name w:val="列表段落1"/>
    <w:basedOn w:val="1"/>
    <w:qFormat/>
    <w:uiPriority w:val="0"/>
    <w:pPr>
      <w:adjustRightInd/>
      <w:snapToGrid/>
      <w:spacing w:line="240" w:lineRule="auto"/>
      <w:ind w:firstLine="420" w:firstLineChars="200"/>
    </w:pPr>
    <w:rPr>
      <w:rFonts w:ascii="Times New Roman" w:hAnsi="Times New Roman" w:eastAsia="宋体" w:cs="Times New Roman"/>
      <w:sz w:val="21"/>
      <w:szCs w:val="24"/>
    </w:rPr>
  </w:style>
  <w:style w:type="character" w:customStyle="1" w:styleId="79">
    <w:name w:val="纯文本 Char"/>
    <w:basedOn w:val="21"/>
    <w:link w:val="12"/>
    <w:qFormat/>
    <w:uiPriority w:val="0"/>
    <w:rPr>
      <w:rFonts w:ascii="宋体" w:hAnsi="Courier New" w:eastAsia="宋体" w:cs="宋体"/>
    </w:rPr>
  </w:style>
  <w:style w:type="character" w:customStyle="1" w:styleId="80">
    <w:name w:val="批注文字 Char1"/>
    <w:basedOn w:val="21"/>
    <w:semiHidden/>
    <w:qFormat/>
    <w:uiPriority w:val="99"/>
    <w:rPr>
      <w:kern w:val="2"/>
      <w:sz w:val="21"/>
      <w:szCs w:val="21"/>
    </w:rPr>
  </w:style>
  <w:style w:type="paragraph" w:customStyle="1" w:styleId="8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yawan\Desktop\1-&#26631;&#20934;&#25991;&#20214;\1-&#37319;&#36141;&#25991;&#20214;\competitive consul-&#25919;&#37319;&#36135;&#29289;&#26381;&#21153;&#36890;&#29992;&#29256;&#26412;20210425[&#20869;&#37096;&#24449;&#27714;&#24847;&#35265;&#20462;&#3574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545BB-0F24-4FC1-B060-3958BC71D2C9}">
  <ds:schemaRefs/>
</ds:datastoreItem>
</file>

<file path=docProps/app.xml><?xml version="1.0" encoding="utf-8"?>
<Properties xmlns="http://schemas.openxmlformats.org/officeDocument/2006/extended-properties" xmlns:vt="http://schemas.openxmlformats.org/officeDocument/2006/docPropsVTypes">
  <Template>competitive consul-政采货物服务通用版本20210425[内部征求意见修订]</Template>
  <Company>Sky123.Org</Company>
  <Pages>10</Pages>
  <Words>995</Words>
  <Characters>5678</Characters>
  <Lines>47</Lines>
  <Paragraphs>13</Paragraphs>
  <ScaleCrop>false</ScaleCrop>
  <LinksUpToDate>false</LinksUpToDate>
  <CharactersWithSpaces>6660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2021-07-01T09:02:00Z</dcterms:created>
  <dc:creator>贾亚弯(Jia Yawan 中化商务)</dc:creator>
  <cp:lastModifiedBy>renshi2</cp:lastModifiedBy>
  <cp:lastPrinted>2021-02-24T12:20:00Z</cp:lastPrinted>
  <dcterms:modified xsi:type="dcterms:W3CDTF">2021-08-04T06:45:55Z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