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宋体" w:hAnsi="宋体" w:eastAsia="宋体"/>
          <w:sz w:val="32"/>
          <w:szCs w:val="32"/>
        </w:rPr>
      </w:pPr>
      <w:bookmarkStart w:id="0" w:name="_Toc43715856"/>
      <w:r>
        <w:rPr>
          <w:rFonts w:ascii="宋体" w:hAnsi="宋体" w:eastAsia="宋体"/>
          <w:sz w:val="24"/>
          <w:szCs w:val="24"/>
        </w:rPr>
        <w:pict>
          <v:shape id="文本框 5" o:spid="_x0000_s1031" o:spt="202" type="#_x0000_t202" style="position:absolute;left:0pt;margin-left:-5.35pt;margin-top:34.15pt;height:143.55pt;width:422.7pt;z-index:251660288;mso-width-relative:page;mso-height-relative:page;" coordsize="21600,21600">
            <v:path/>
            <v:fill focussize="0,0"/>
            <v:stroke joinstyle="miter"/>
            <v:imagedata o:title=""/>
            <o:lock v:ext="edit"/>
            <v:textbox>
              <w:txbxContent>
                <w:p>
                  <w:pPr>
                    <w:spacing w:line="360" w:lineRule="auto"/>
                    <w:ind w:firstLine="426" w:firstLineChars="177"/>
                    <w:rPr>
                      <w:rFonts w:ascii="宋体" w:hAnsi="宋体"/>
                      <w:b/>
                      <w:sz w:val="24"/>
                    </w:rPr>
                  </w:pPr>
                  <w:r>
                    <w:rPr>
                      <w:rFonts w:hint="eastAsia" w:ascii="宋体" w:hAnsi="宋体"/>
                      <w:b/>
                      <w:sz w:val="24"/>
                    </w:rPr>
                    <w:t>项目概况</w:t>
                  </w:r>
                </w:p>
                <w:p>
                  <w:pPr>
                    <w:spacing w:line="360" w:lineRule="auto"/>
                    <w:ind w:firstLine="425" w:firstLineChars="177"/>
                    <w:rPr>
                      <w:sz w:val="24"/>
                    </w:rPr>
                  </w:pPr>
                  <w:r>
                    <w:rPr>
                      <w:rFonts w:hint="eastAsia" w:ascii="宋体" w:hAnsi="宋体"/>
                      <w:sz w:val="24"/>
                      <w:u w:val="single"/>
                    </w:rPr>
                    <w:t>QDF-V2016业务处理与综合服务平台互联网服务云托管项目</w:t>
                  </w:r>
                  <w:r>
                    <w:rPr>
                      <w:rFonts w:hint="eastAsia" w:ascii="宋体" w:hAnsi="宋体"/>
                      <w:sz w:val="24"/>
                    </w:rPr>
                    <w:t>招标项目的潜在投标人应在</w:t>
                  </w:r>
                  <w:r>
                    <w:rPr>
                      <w:rFonts w:hint="eastAsia" w:ascii="宋体" w:hAnsi="宋体"/>
                      <w:sz w:val="24"/>
                      <w:u w:val="single"/>
                    </w:rPr>
                    <w:t>北京市海淀区海淀大街8号中钢国际广场16层</w:t>
                  </w:r>
                  <w:r>
                    <w:rPr>
                      <w:rFonts w:hint="eastAsia" w:ascii="宋体" w:hAnsi="宋体"/>
                      <w:b/>
                      <w:sz w:val="24"/>
                      <w:u w:val="single"/>
                    </w:rPr>
                    <w:t>（以汇款形式支付标书款、电子邮件送达招标文件的方式发售。纸质招标文件和标书款发票的获取事宜详询采购代理机构项目联系人，如有不便，敬请谅解）</w:t>
                  </w:r>
                  <w:r>
                    <w:rPr>
                      <w:rFonts w:hint="eastAsia" w:ascii="宋体" w:hAnsi="宋体"/>
                      <w:sz w:val="24"/>
                    </w:rPr>
                    <w:t>获取招标文件，并于</w:t>
                  </w:r>
                  <w:r>
                    <w:rPr>
                      <w:rFonts w:hint="eastAsia" w:ascii="宋体" w:hAnsi="宋体"/>
                      <w:color w:val="FF0000"/>
                      <w:sz w:val="24"/>
                      <w:u w:val="single"/>
                    </w:rPr>
                    <w:t>2</w:t>
                  </w:r>
                  <w:r>
                    <w:rPr>
                      <w:rFonts w:ascii="宋体" w:hAnsi="宋体"/>
                      <w:color w:val="FF0000"/>
                      <w:sz w:val="24"/>
                      <w:u w:val="single"/>
                    </w:rPr>
                    <w:t>021</w:t>
                  </w:r>
                  <w:r>
                    <w:rPr>
                      <w:rFonts w:hint="eastAsia" w:ascii="宋体" w:hAnsi="宋体"/>
                      <w:color w:val="FF0000"/>
                      <w:sz w:val="24"/>
                    </w:rPr>
                    <w:t>年__月__日</w:t>
                  </w:r>
                  <w:r>
                    <w:rPr>
                      <w:rFonts w:ascii="宋体" w:hAnsi="宋体"/>
                      <w:sz w:val="24"/>
                      <w:u w:val="single"/>
                    </w:rPr>
                    <w:t>09</w:t>
                  </w:r>
                  <w:r>
                    <w:rPr>
                      <w:rFonts w:hint="eastAsia" w:ascii="宋体" w:hAnsi="宋体"/>
                      <w:sz w:val="24"/>
                    </w:rPr>
                    <w:t>点</w:t>
                  </w:r>
                  <w:r>
                    <w:rPr>
                      <w:rFonts w:ascii="宋体" w:hAnsi="宋体"/>
                      <w:sz w:val="24"/>
                      <w:u w:val="single"/>
                    </w:rPr>
                    <w:t>30</w:t>
                  </w:r>
                  <w:r>
                    <w:rPr>
                      <w:rFonts w:hint="eastAsia" w:ascii="宋体" w:hAnsi="宋体"/>
                      <w:sz w:val="24"/>
                    </w:rPr>
                    <w:t>分（北京时间）前递交投标</w:t>
                  </w:r>
                  <w:r>
                    <w:rPr>
                      <w:rFonts w:ascii="宋体" w:hAnsi="宋体"/>
                      <w:sz w:val="24"/>
                    </w:rPr>
                    <w:t>文件</w:t>
                  </w:r>
                  <w:r>
                    <w:rPr>
                      <w:rFonts w:hint="eastAsia" w:ascii="宋体" w:hAnsi="宋体"/>
                      <w:sz w:val="24"/>
                    </w:rPr>
                    <w:t>。</w:t>
                  </w:r>
                </w:p>
              </w:txbxContent>
            </v:textbox>
          </v:shape>
        </w:pict>
      </w:r>
      <w:bookmarkStart w:id="1" w:name="_Toc80886797"/>
      <w:r>
        <w:rPr>
          <w:rFonts w:hint="eastAsia" w:ascii="宋体" w:hAnsi="宋体" w:eastAsia="宋体"/>
          <w:sz w:val="32"/>
          <w:szCs w:val="32"/>
        </w:rPr>
        <w:t>第一章 投标邀请</w:t>
      </w:r>
      <w:bookmarkEnd w:id="0"/>
      <w:bookmarkEnd w:id="1"/>
    </w:p>
    <w:p>
      <w:pPr>
        <w:spacing w:line="360" w:lineRule="auto"/>
        <w:rPr>
          <w:rFonts w:ascii="宋体" w:hAnsi="宋体" w:eastAsia="宋体"/>
          <w:sz w:val="24"/>
          <w:szCs w:val="24"/>
        </w:rPr>
      </w:pPr>
      <w:bookmarkStart w:id="88" w:name="_GoBack"/>
    </w:p>
    <w:bookmarkEnd w:id="88"/>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pStyle w:val="3"/>
        <w:spacing w:before="0" w:after="0" w:line="360" w:lineRule="auto"/>
        <w:ind w:firstLine="482" w:firstLineChars="200"/>
        <w:jc w:val="left"/>
        <w:rPr>
          <w:rFonts w:ascii="宋体" w:hAnsi="宋体" w:eastAsia="宋体" w:cstheme="minorBidi"/>
          <w:sz w:val="24"/>
          <w:szCs w:val="24"/>
        </w:rPr>
      </w:pPr>
      <w:bookmarkStart w:id="2" w:name="_Toc35393621"/>
      <w:bookmarkStart w:id="3" w:name="_Toc28359079"/>
      <w:bookmarkStart w:id="4" w:name="_Toc28359002"/>
      <w:bookmarkStart w:id="5" w:name="_Toc35393790"/>
      <w:bookmarkStart w:id="6" w:name="_Toc80886798"/>
      <w:bookmarkStart w:id="7" w:name="_Hlk24379207"/>
      <w:r>
        <w:rPr>
          <w:rFonts w:hint="eastAsia" w:ascii="宋体" w:hAnsi="宋体" w:eastAsia="宋体" w:cstheme="minorBidi"/>
          <w:sz w:val="24"/>
          <w:szCs w:val="24"/>
        </w:rPr>
        <w:t>一、项目基本情况</w:t>
      </w:r>
      <w:bookmarkEnd w:id="2"/>
      <w:bookmarkEnd w:id="3"/>
      <w:bookmarkEnd w:id="4"/>
      <w:bookmarkEnd w:id="5"/>
      <w:bookmarkEnd w:id="6"/>
    </w:p>
    <w:p>
      <w:pPr>
        <w:spacing w:line="360" w:lineRule="auto"/>
        <w:ind w:firstLine="480" w:firstLineChars="200"/>
        <w:rPr>
          <w:rFonts w:ascii="宋体" w:hAnsi="宋体" w:eastAsia="宋体"/>
          <w:sz w:val="24"/>
          <w:szCs w:val="24"/>
        </w:rPr>
      </w:pPr>
      <w:r>
        <w:rPr>
          <w:rFonts w:hint="eastAsia" w:ascii="宋体" w:hAnsi="宋体" w:eastAsia="宋体"/>
          <w:sz w:val="24"/>
          <w:szCs w:val="24"/>
        </w:rPr>
        <w:t>1.项目编号：</w:t>
      </w:r>
      <w:r>
        <w:rPr>
          <w:rFonts w:ascii="宋体" w:hAnsi="宋体" w:eastAsia="宋体"/>
          <w:sz w:val="24"/>
          <w:szCs w:val="24"/>
        </w:rPr>
        <w:t>2141STC31960</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.项目名称：QDF-V2016业务处理与综合服务平台互联网服务云托管项目</w:t>
      </w:r>
    </w:p>
    <w:bookmarkEnd w:id="7"/>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.项目预算金额：225.4万元</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.采购需求：</w:t>
      </w:r>
    </w:p>
    <w:tbl>
      <w:tblPr>
        <w:tblStyle w:val="52"/>
        <w:tblW w:w="8915"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04"/>
        <w:gridCol w:w="1117"/>
        <w:gridCol w:w="1134"/>
        <w:gridCol w:w="113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blHeader/>
          <w:jc w:val="center"/>
        </w:trPr>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包号</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采购内容</w:t>
            </w:r>
          </w:p>
        </w:tc>
        <w:tc>
          <w:tcPr>
            <w:tcW w:w="11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最高限价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服务周期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服务地点</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主要技术参数及招标数量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682"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01</w:t>
            </w:r>
          </w:p>
        </w:tc>
        <w:tc>
          <w:tcPr>
            <w:tcW w:w="1304"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QDF-V2016业务处理与综合服务平台互联网服务云托管</w:t>
            </w:r>
          </w:p>
        </w:tc>
        <w:tc>
          <w:tcPr>
            <w:tcW w:w="1117"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225.4</w:t>
            </w:r>
            <w:r>
              <w:rPr>
                <w:rFonts w:hint="eastAsia" w:ascii="宋体" w:hAnsi="宋体" w:eastAsia="宋体"/>
                <w:szCs w:val="21"/>
              </w:rPr>
              <w:t>万元</w:t>
            </w:r>
          </w:p>
        </w:tc>
        <w:tc>
          <w:tcPr>
            <w:tcW w:w="1134"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合同签订后</w:t>
            </w:r>
            <w:r>
              <w:rPr>
                <w:rFonts w:hint="eastAsia" w:ascii="宋体" w:hAnsi="宋体" w:eastAsia="宋体"/>
                <w:szCs w:val="21"/>
              </w:rPr>
              <w:t>2年</w:t>
            </w:r>
          </w:p>
        </w:tc>
        <w:tc>
          <w:tcPr>
            <w:tcW w:w="1134"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北京市东城区</w:t>
            </w:r>
            <w:r>
              <w:rPr>
                <w:rFonts w:hint="eastAsia" w:ascii="宋体" w:hAnsi="宋体" w:eastAsia="宋体"/>
                <w:szCs w:val="21"/>
              </w:rPr>
              <w:t>，招标人指定地点</w:t>
            </w:r>
          </w:p>
        </w:tc>
        <w:tc>
          <w:tcPr>
            <w:tcW w:w="3544"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拟选定一家服务商，在不中断现有业务的前提下完成QDF-V2016业务处理与综合服务平台互联网系统迁移工作以及互联网系统和业务处理系统安全的实时互联互通。具体要求详见招标文件第四章“采购需求书”</w:t>
            </w:r>
          </w:p>
        </w:tc>
      </w:tr>
    </w:tbl>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.合同履行期限：</w:t>
      </w:r>
      <w:r>
        <w:rPr>
          <w:rFonts w:ascii="宋体" w:hAnsi="宋体" w:eastAsia="宋体"/>
          <w:sz w:val="24"/>
          <w:szCs w:val="24"/>
        </w:rPr>
        <w:t>合同签订后</w:t>
      </w:r>
      <w:r>
        <w:rPr>
          <w:rFonts w:hint="eastAsia" w:ascii="宋体" w:hAnsi="宋体" w:eastAsia="宋体"/>
          <w:sz w:val="24"/>
          <w:szCs w:val="24"/>
        </w:rPr>
        <w:t>2年。</w:t>
      </w:r>
    </w:p>
    <w:p>
      <w:pPr>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.本项目不接受联合体投标</w:t>
      </w:r>
    </w:p>
    <w:p>
      <w:pPr>
        <w:pStyle w:val="3"/>
        <w:spacing w:before="0" w:after="0" w:line="360" w:lineRule="auto"/>
        <w:ind w:firstLine="482" w:firstLineChars="200"/>
        <w:jc w:val="left"/>
        <w:rPr>
          <w:rFonts w:ascii="宋体" w:hAnsi="宋体" w:eastAsia="宋体" w:cstheme="minorBidi"/>
          <w:sz w:val="24"/>
          <w:szCs w:val="24"/>
        </w:rPr>
      </w:pPr>
      <w:bookmarkStart w:id="8" w:name="_Toc28359003"/>
      <w:bookmarkStart w:id="9" w:name="_Toc80886799"/>
      <w:bookmarkStart w:id="10" w:name="_Toc35393791"/>
      <w:bookmarkStart w:id="11" w:name="_Toc28359080"/>
      <w:bookmarkStart w:id="12" w:name="_Toc35393622"/>
      <w:r>
        <w:rPr>
          <w:rFonts w:hint="eastAsia" w:ascii="宋体" w:hAnsi="宋体" w:eastAsia="宋体" w:cstheme="minorBidi"/>
          <w:sz w:val="24"/>
          <w:szCs w:val="24"/>
        </w:rPr>
        <w:t>二、申请人的资格要求（须同时满足）</w:t>
      </w:r>
      <w:bookmarkEnd w:id="8"/>
      <w:bookmarkEnd w:id="9"/>
      <w:bookmarkEnd w:id="10"/>
      <w:bookmarkEnd w:id="11"/>
      <w:bookmarkEnd w:id="12"/>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bookmarkStart w:id="13" w:name="OLE_LINK5"/>
      <w:bookmarkStart w:id="14" w:name="OLE_LINK6"/>
      <w:r>
        <w:rPr>
          <w:rFonts w:hint="eastAsia" w:ascii="宋体" w:hAnsi="宋体" w:eastAsia="宋体"/>
          <w:sz w:val="24"/>
          <w:szCs w:val="24"/>
        </w:rPr>
        <w:t>申请人</w:t>
      </w:r>
      <w:bookmarkEnd w:id="13"/>
      <w:bookmarkEnd w:id="14"/>
      <w:r>
        <w:rPr>
          <w:rFonts w:ascii="宋体" w:hAnsi="宋体" w:eastAsia="宋体"/>
          <w:sz w:val="24"/>
          <w:szCs w:val="24"/>
        </w:rPr>
        <w:t>须为</w:t>
      </w:r>
      <w:r>
        <w:rPr>
          <w:rFonts w:hint="eastAsia" w:ascii="宋体" w:hAnsi="宋体" w:eastAsia="宋体"/>
          <w:sz w:val="24"/>
          <w:szCs w:val="24"/>
        </w:rPr>
        <w:t>在中华人民共和国境内注册、响应招标、参加投标竞争的法人、其他组织或者自然人，满足《中华人民共和国政府采购法》第二十二条规定；</w:t>
      </w:r>
    </w:p>
    <w:p>
      <w:pPr>
        <w:spacing w:line="360" w:lineRule="auto"/>
        <w:ind w:firstLine="480" w:firstLineChars="200"/>
        <w:rPr>
          <w:rFonts w:ascii="宋体" w:hAnsi="宋体" w:eastAsia="宋体"/>
          <w:sz w:val="24"/>
          <w:szCs w:val="24"/>
        </w:rPr>
      </w:pPr>
      <w:bookmarkStart w:id="15" w:name="_Toc28359081"/>
      <w:bookmarkStart w:id="16" w:name="_Toc28359004"/>
      <w:r>
        <w:rPr>
          <w:rFonts w:ascii="宋体" w:hAnsi="宋体" w:eastAsia="宋体"/>
          <w:sz w:val="24"/>
          <w:szCs w:val="24"/>
        </w:rPr>
        <w:t>2</w:t>
      </w:r>
      <w:r>
        <w:rPr>
          <w:rFonts w:hint="eastAsia" w:ascii="宋体" w:hAnsi="宋体" w:eastAsia="宋体"/>
          <w:sz w:val="24"/>
          <w:szCs w:val="24"/>
        </w:rPr>
        <w:t>.落实政府采购政策需满足的资格要求：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本项目01包不专门面向中小企业预留采购份额。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3.本项目的特定资格要求：</w:t>
      </w:r>
    </w:p>
    <w:p>
      <w:pPr>
        <w:spacing w:line="360" w:lineRule="auto"/>
        <w:ind w:firstLine="480" w:firstLineChars="200"/>
        <w:rPr>
          <w:rFonts w:ascii="宋体" w:hAnsi="宋体" w:eastAsia="宋体"/>
          <w:sz w:val="24"/>
          <w:szCs w:val="24"/>
        </w:rPr>
      </w:pPr>
      <w:r>
        <w:rPr>
          <w:rFonts w:ascii="宋体" w:hAnsi="宋体" w:eastAsia="宋体"/>
          <w:sz w:val="24"/>
          <w:szCs w:val="24"/>
        </w:rPr>
        <w:t>①</w:t>
      </w:r>
      <w:r>
        <w:rPr>
          <w:rFonts w:hint="eastAsia" w:ascii="宋体" w:hAnsi="宋体" w:eastAsia="宋体"/>
          <w:sz w:val="24"/>
          <w:szCs w:val="24"/>
        </w:rPr>
        <w:t>申请人须具备有效期内的《增值电信业务经营许可证》；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②申请人须为中华人民共和国国家互联网信息办公室网站公布的《通过云计算服务安全评估的云平台》名单中的云服务商；</w:t>
      </w:r>
    </w:p>
    <w:p>
      <w:pPr>
        <w:spacing w:line="360" w:lineRule="auto"/>
        <w:ind w:firstLine="480" w:firstLineChars="200"/>
        <w:rPr>
          <w:rFonts w:ascii="宋体" w:hAnsi="宋体" w:eastAsia="宋体"/>
          <w:sz w:val="24"/>
          <w:szCs w:val="24"/>
        </w:rPr>
      </w:pPr>
      <w:r>
        <w:rPr>
          <w:rFonts w:ascii="宋体" w:hAnsi="宋体" w:eastAsia="宋体"/>
          <w:sz w:val="24"/>
          <w:szCs w:val="24"/>
        </w:rPr>
        <w:fldChar w:fldCharType="begin"/>
      </w:r>
      <w:r>
        <w:rPr>
          <w:rFonts w:hint="eastAsia" w:ascii="宋体" w:hAnsi="宋体" w:eastAsia="宋体"/>
          <w:sz w:val="24"/>
          <w:szCs w:val="24"/>
        </w:rPr>
        <w:instrText xml:space="preserve">= 3 \* GB3</w:instrText>
      </w:r>
      <w:r>
        <w:rPr>
          <w:rFonts w:ascii="宋体" w:hAnsi="宋体" w:eastAsia="宋体"/>
          <w:sz w:val="24"/>
          <w:szCs w:val="24"/>
        </w:rPr>
        <w:fldChar w:fldCharType="separate"/>
      </w:r>
      <w:r>
        <w:rPr>
          <w:rFonts w:hint="eastAsia" w:ascii="宋体" w:hAnsi="宋体" w:eastAsia="宋体"/>
          <w:sz w:val="24"/>
          <w:szCs w:val="24"/>
        </w:rPr>
        <w:t>③</w:t>
      </w:r>
      <w:r>
        <w:rPr>
          <w:rFonts w:ascii="宋体" w:hAnsi="宋体" w:eastAsia="宋体"/>
          <w:sz w:val="24"/>
          <w:szCs w:val="24"/>
        </w:rPr>
        <w:fldChar w:fldCharType="end"/>
      </w:r>
      <w:r>
        <w:rPr>
          <w:rFonts w:hint="eastAsia" w:ascii="宋体" w:hAnsi="宋体" w:eastAsia="宋体"/>
          <w:sz w:val="24"/>
          <w:szCs w:val="24"/>
        </w:rPr>
        <w:t>申请人提供的云计算服务平台必须为中华人民共和国国家互联网信息办公室网站公布的《通过云计算服务安全评估的云平台》名单中的云平台且通过信息系统安全等级保护三级备案；</w:t>
      </w:r>
    </w:p>
    <w:p>
      <w:pPr>
        <w:spacing w:line="360" w:lineRule="auto"/>
        <w:ind w:firstLine="480" w:firstLineChars="200"/>
        <w:rPr>
          <w:rFonts w:ascii="宋体" w:hAnsi="宋体" w:eastAsia="宋体"/>
          <w:sz w:val="24"/>
          <w:szCs w:val="24"/>
        </w:rPr>
      </w:pPr>
      <w:r>
        <w:rPr>
          <w:rFonts w:ascii="宋体" w:hAnsi="宋体" w:eastAsia="宋体"/>
          <w:sz w:val="24"/>
          <w:szCs w:val="24"/>
        </w:rPr>
        <w:t>④</w:t>
      </w:r>
      <w:r>
        <w:rPr>
          <w:rFonts w:hint="eastAsia" w:ascii="宋体" w:hAnsi="宋体" w:eastAsia="宋体"/>
          <w:sz w:val="24"/>
          <w:szCs w:val="24"/>
        </w:rPr>
        <w:t>本项目不接受联合体投标；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⑤本项目不接受进口产品投标；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⑥本项目不接受分公司、分所等分支机构参加投标；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⑦对于政府购买</w:t>
      </w:r>
      <w:r>
        <w:rPr>
          <w:rFonts w:ascii="宋体" w:hAnsi="宋体" w:eastAsia="宋体"/>
          <w:sz w:val="24"/>
          <w:szCs w:val="24"/>
        </w:rPr>
        <w:t>服务项目，</w:t>
      </w:r>
      <w:r>
        <w:rPr>
          <w:rFonts w:hint="eastAsia" w:ascii="宋体" w:hAnsi="宋体" w:eastAsia="宋体"/>
          <w:sz w:val="24"/>
          <w:szCs w:val="24"/>
        </w:rPr>
        <w:t>公益一类事业单位、使用事业编制且由财政拨款保障的群团组织，不得作为承接主体；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⑧法律、行政法规、招标文件关于“合格投标人（申请人）”的其他条件。</w:t>
      </w:r>
    </w:p>
    <w:p>
      <w:pPr>
        <w:pStyle w:val="3"/>
        <w:spacing w:before="0" w:after="0" w:line="360" w:lineRule="auto"/>
        <w:ind w:firstLine="482" w:firstLineChars="200"/>
        <w:jc w:val="left"/>
        <w:rPr>
          <w:rFonts w:ascii="宋体" w:hAnsi="宋体" w:eastAsia="宋体" w:cstheme="minorBidi"/>
          <w:sz w:val="24"/>
          <w:szCs w:val="24"/>
        </w:rPr>
      </w:pPr>
      <w:bookmarkStart w:id="17" w:name="_Toc80886800"/>
      <w:bookmarkStart w:id="18" w:name="_Toc35393792"/>
      <w:bookmarkStart w:id="19" w:name="_Toc35393623"/>
      <w:r>
        <w:rPr>
          <w:rFonts w:hint="eastAsia" w:ascii="宋体" w:hAnsi="宋体" w:eastAsia="宋体" w:cstheme="minorBidi"/>
          <w:sz w:val="24"/>
          <w:szCs w:val="24"/>
        </w:rPr>
        <w:t>三、获取招标文件</w:t>
      </w:r>
      <w:bookmarkEnd w:id="15"/>
      <w:bookmarkEnd w:id="16"/>
      <w:bookmarkEnd w:id="17"/>
      <w:bookmarkEnd w:id="18"/>
      <w:bookmarkEnd w:id="19"/>
    </w:p>
    <w:p>
      <w:pPr>
        <w:spacing w:line="360" w:lineRule="auto"/>
        <w:ind w:firstLine="480" w:firstLineChars="200"/>
        <w:rPr>
          <w:rFonts w:ascii="宋体" w:hAnsi="宋体" w:eastAsia="宋体"/>
          <w:sz w:val="24"/>
          <w:szCs w:val="24"/>
        </w:rPr>
      </w:pPr>
      <w:r>
        <w:rPr>
          <w:rFonts w:hint="eastAsia" w:ascii="宋体" w:hAnsi="宋体" w:eastAsia="宋体"/>
          <w:sz w:val="24"/>
          <w:szCs w:val="24"/>
        </w:rPr>
        <w:t>1.时间：</w:t>
      </w:r>
      <w:r>
        <w:rPr>
          <w:rFonts w:hint="eastAsia" w:ascii="宋体" w:hAnsi="宋体" w:eastAsia="宋体"/>
          <w:color w:val="FF0000"/>
          <w:sz w:val="24"/>
          <w:szCs w:val="24"/>
        </w:rPr>
        <w:t>2021年__月__日</w:t>
      </w:r>
      <w:r>
        <w:rPr>
          <w:rFonts w:hint="eastAsia" w:ascii="宋体" w:hAnsi="宋体" w:eastAsia="宋体"/>
          <w:sz w:val="24"/>
          <w:szCs w:val="24"/>
        </w:rPr>
        <w:t>至</w:t>
      </w:r>
      <w:r>
        <w:rPr>
          <w:rFonts w:hint="eastAsia" w:ascii="宋体" w:hAnsi="宋体" w:eastAsia="宋体"/>
          <w:color w:val="FF0000"/>
          <w:sz w:val="24"/>
          <w:szCs w:val="24"/>
        </w:rPr>
        <w:t>2021年__月__日</w:t>
      </w:r>
      <w:r>
        <w:rPr>
          <w:rFonts w:hint="eastAsia" w:ascii="宋体" w:hAnsi="宋体" w:eastAsia="宋体"/>
          <w:sz w:val="24"/>
          <w:szCs w:val="24"/>
        </w:rPr>
        <w:t>，每天上午9:00至12:00，下午13:00至17:00（北京时间，</w:t>
      </w:r>
      <w:r>
        <w:rPr>
          <w:rFonts w:ascii="宋体" w:hAnsi="宋体" w:eastAsia="宋体"/>
          <w:sz w:val="24"/>
          <w:szCs w:val="24"/>
        </w:rPr>
        <w:t>法定节假日</w:t>
      </w:r>
      <w:r>
        <w:rPr>
          <w:rFonts w:hint="eastAsia" w:ascii="宋体" w:hAnsi="宋体" w:eastAsia="宋体"/>
          <w:sz w:val="24"/>
          <w:szCs w:val="24"/>
        </w:rPr>
        <w:t>除外）。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2.地点：为减少人员聚集，疫情期间我公司招标文件暂停现场发售，以电子邮件送达采购文件的方式发售。非常时期如有不便，敬请谅解。</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3.方式：购买时请同时提供：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①申请人法定代表人</w:t>
      </w:r>
      <w:r>
        <w:rPr>
          <w:rFonts w:ascii="宋体" w:hAnsi="宋体" w:eastAsia="宋体"/>
          <w:sz w:val="24"/>
          <w:szCs w:val="24"/>
        </w:rPr>
        <w:t>授权书或</w:t>
      </w:r>
      <w:r>
        <w:rPr>
          <w:rFonts w:hint="eastAsia" w:ascii="宋体" w:hAnsi="宋体" w:eastAsia="宋体"/>
          <w:sz w:val="24"/>
          <w:szCs w:val="24"/>
        </w:rPr>
        <w:t>单位</w:t>
      </w:r>
      <w:r>
        <w:rPr>
          <w:rFonts w:ascii="宋体" w:hAnsi="宋体" w:eastAsia="宋体"/>
          <w:sz w:val="24"/>
          <w:szCs w:val="24"/>
        </w:rPr>
        <w:t>介绍信</w:t>
      </w:r>
      <w:r>
        <w:rPr>
          <w:rFonts w:hint="eastAsia" w:ascii="宋体" w:hAnsi="宋体" w:eastAsia="宋体"/>
          <w:sz w:val="24"/>
          <w:szCs w:val="24"/>
        </w:rPr>
        <w:t>。法定代表人（或单位负责人）本人</w:t>
      </w:r>
      <w:r>
        <w:rPr>
          <w:rFonts w:ascii="宋体" w:hAnsi="宋体" w:eastAsia="宋体"/>
          <w:sz w:val="24"/>
          <w:szCs w:val="24"/>
        </w:rPr>
        <w:t>前来购买时可提供</w:t>
      </w:r>
      <w:r>
        <w:rPr>
          <w:rFonts w:hint="eastAsia" w:ascii="宋体" w:hAnsi="宋体" w:eastAsia="宋体"/>
          <w:sz w:val="24"/>
          <w:szCs w:val="24"/>
        </w:rPr>
        <w:t>法定代表人（或单位负责人）身份</w:t>
      </w:r>
      <w:r>
        <w:rPr>
          <w:rFonts w:ascii="宋体" w:hAnsi="宋体" w:eastAsia="宋体"/>
          <w:sz w:val="24"/>
          <w:szCs w:val="24"/>
        </w:rPr>
        <w:t>证明文件</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②购买人个人有效身份证件复印件；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③为便于及时通知有关项目信息并开具发票，</w:t>
      </w:r>
      <w:r>
        <w:rPr>
          <w:rFonts w:ascii="宋体" w:hAnsi="宋体" w:eastAsia="宋体"/>
          <w:sz w:val="24"/>
          <w:szCs w:val="24"/>
        </w:rPr>
        <w:t>请提供</w:t>
      </w:r>
      <w:r>
        <w:rPr>
          <w:rFonts w:hint="eastAsia" w:ascii="宋体" w:hAnsi="宋体" w:eastAsia="宋体"/>
          <w:sz w:val="24"/>
          <w:szCs w:val="24"/>
        </w:rPr>
        <w:t>《申请人联系信息表》及《申请人开票信息表》签字件，请申请人</w:t>
      </w:r>
      <w:r>
        <w:rPr>
          <w:rFonts w:ascii="宋体" w:hAnsi="宋体" w:eastAsia="宋体"/>
          <w:sz w:val="24"/>
          <w:szCs w:val="24"/>
        </w:rPr>
        <w:t>自行</w:t>
      </w:r>
      <w:r>
        <w:rPr>
          <w:rFonts w:hint="eastAsia" w:ascii="宋体" w:hAnsi="宋体" w:eastAsia="宋体"/>
          <w:sz w:val="24"/>
          <w:szCs w:val="24"/>
        </w:rPr>
        <w:t>前往中钢招标有限责任公司</w:t>
      </w:r>
      <w:r>
        <w:rPr>
          <w:rFonts w:ascii="宋体" w:hAnsi="宋体" w:eastAsia="宋体"/>
          <w:sz w:val="24"/>
          <w:szCs w:val="24"/>
        </w:rPr>
        <w:t>官网“</w:t>
      </w:r>
      <w:r>
        <w:rPr>
          <w:rFonts w:hint="eastAsia" w:ascii="宋体" w:hAnsi="宋体" w:eastAsia="宋体"/>
          <w:sz w:val="24"/>
          <w:szCs w:val="24"/>
        </w:rPr>
        <w:t>帮助中心</w:t>
      </w:r>
      <w:r>
        <w:rPr>
          <w:rFonts w:ascii="宋体" w:hAnsi="宋体" w:eastAsia="宋体"/>
          <w:sz w:val="24"/>
          <w:szCs w:val="24"/>
        </w:rPr>
        <w:t>”</w:t>
      </w:r>
      <w:r>
        <w:rPr>
          <w:rFonts w:hint="eastAsia" w:ascii="宋体" w:hAnsi="宋体" w:eastAsia="宋体"/>
          <w:sz w:val="24"/>
          <w:szCs w:val="24"/>
        </w:rPr>
        <w:t>栏目</w:t>
      </w:r>
      <w:r>
        <w:rPr>
          <w:rFonts w:ascii="宋体" w:hAnsi="宋体" w:eastAsia="宋体"/>
          <w:sz w:val="24"/>
          <w:szCs w:val="24"/>
        </w:rPr>
        <w:t>下载</w:t>
      </w:r>
      <w:r>
        <w:rPr>
          <w:rFonts w:hint="eastAsia" w:ascii="宋体" w:hAnsi="宋体" w:eastAsia="宋体"/>
          <w:sz w:val="24"/>
          <w:szCs w:val="24"/>
        </w:rPr>
        <w:t>，下载</w:t>
      </w:r>
      <w:r>
        <w:rPr>
          <w:rFonts w:ascii="宋体" w:hAnsi="宋体" w:eastAsia="宋体"/>
          <w:sz w:val="24"/>
          <w:szCs w:val="24"/>
        </w:rPr>
        <w:t>地址为</w:t>
      </w:r>
      <w:r>
        <w:rPr>
          <w:rFonts w:hint="eastAsia" w:ascii="宋体" w:hAnsi="宋体" w:eastAsia="宋体"/>
          <w:sz w:val="24"/>
          <w:szCs w:val="24"/>
        </w:rPr>
        <w:t>：</w:t>
      </w:r>
      <w:bookmarkStart w:id="20" w:name="OLE_LINK7"/>
      <w:r>
        <w:rPr>
          <w:rFonts w:ascii="宋体" w:hAnsi="宋体" w:eastAsia="宋体"/>
          <w:sz w:val="24"/>
          <w:szCs w:val="24"/>
        </w:rPr>
        <w:t>http://tendering.sinosteel.com/</w:t>
      </w:r>
      <w:bookmarkEnd w:id="20"/>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④标书款</w:t>
      </w:r>
      <w:r>
        <w:rPr>
          <w:rFonts w:ascii="宋体" w:hAnsi="宋体" w:eastAsia="宋体"/>
          <w:sz w:val="24"/>
          <w:szCs w:val="24"/>
        </w:rPr>
        <w:t>以</w:t>
      </w:r>
      <w:r>
        <w:rPr>
          <w:rFonts w:hint="eastAsia" w:ascii="宋体" w:hAnsi="宋体" w:eastAsia="宋体"/>
          <w:sz w:val="24"/>
          <w:szCs w:val="24"/>
        </w:rPr>
        <w:t>汇款方式交纳。提供标书款的汇款单复印件，汇款单附言处须注明本项目“项目编号/包号”。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说明</w:t>
      </w:r>
      <w:r>
        <w:rPr>
          <w:rFonts w:ascii="宋体" w:hAnsi="宋体" w:eastAsia="宋体"/>
          <w:sz w:val="24"/>
          <w:szCs w:val="24"/>
        </w:rPr>
        <w:t>：</w:t>
      </w:r>
      <w:r>
        <w:rPr>
          <w:rFonts w:hint="eastAsia" w:ascii="宋体" w:hAnsi="宋体" w:eastAsia="宋体"/>
          <w:sz w:val="24"/>
          <w:szCs w:val="24"/>
        </w:rPr>
        <w:t>申请人请以汇款方式邮件购买。</w:t>
      </w:r>
      <w:r>
        <w:rPr>
          <w:rFonts w:ascii="宋体" w:hAnsi="宋体" w:eastAsia="宋体"/>
          <w:sz w:val="24"/>
          <w:szCs w:val="24"/>
        </w:rPr>
        <w:t>将以上</w:t>
      </w:r>
      <w:r>
        <w:rPr>
          <w:rFonts w:hint="eastAsia" w:ascii="宋体" w:hAnsi="宋体" w:eastAsia="宋体"/>
          <w:sz w:val="24"/>
          <w:szCs w:val="24"/>
        </w:rPr>
        <w:t>①～④</w:t>
      </w:r>
      <w:r>
        <w:rPr>
          <w:rFonts w:ascii="宋体" w:hAnsi="宋体" w:eastAsia="宋体"/>
          <w:sz w:val="24"/>
          <w:szCs w:val="24"/>
        </w:rPr>
        <w:t>项材料</w:t>
      </w:r>
      <w:r>
        <w:rPr>
          <w:rFonts w:hint="eastAsia" w:ascii="宋体" w:hAnsi="宋体" w:eastAsia="宋体"/>
          <w:sz w:val="24"/>
          <w:szCs w:val="24"/>
        </w:rPr>
        <w:t>以及③项word格式电子版一并</w:t>
      </w:r>
      <w:r>
        <w:rPr>
          <w:rFonts w:ascii="宋体" w:hAnsi="宋体" w:eastAsia="宋体"/>
          <w:sz w:val="24"/>
          <w:szCs w:val="24"/>
        </w:rPr>
        <w:t>发送</w:t>
      </w:r>
      <w:r>
        <w:rPr>
          <w:rFonts w:hint="eastAsia" w:ascii="宋体" w:hAnsi="宋体" w:eastAsia="宋体"/>
          <w:sz w:val="24"/>
          <w:szCs w:val="24"/>
        </w:rPr>
        <w:t>至“获取</w:t>
      </w:r>
      <w:r>
        <w:rPr>
          <w:rFonts w:ascii="宋体" w:hAnsi="宋体" w:eastAsia="宋体"/>
          <w:sz w:val="24"/>
          <w:szCs w:val="24"/>
        </w:rPr>
        <w:t>招标文件</w:t>
      </w:r>
      <w:r>
        <w:rPr>
          <w:rFonts w:hint="eastAsia" w:ascii="宋体" w:hAnsi="宋体" w:eastAsia="宋体"/>
          <w:sz w:val="24"/>
          <w:szCs w:val="24"/>
        </w:rPr>
        <w:t>指定邮箱”。由于邮件众多，为保证购买人能及时获取招标文件，请在招标文件获取时间期限内、邮件发送后，主动与采购代理机构项目联系人确认是否收到以上资料。申请人</w:t>
      </w:r>
      <w:r>
        <w:rPr>
          <w:rFonts w:ascii="宋体" w:hAnsi="宋体" w:eastAsia="宋体"/>
          <w:sz w:val="24"/>
          <w:szCs w:val="24"/>
        </w:rPr>
        <w:t>为自然人</w:t>
      </w:r>
      <w:r>
        <w:rPr>
          <w:rFonts w:hint="eastAsia" w:ascii="宋体" w:hAnsi="宋体" w:eastAsia="宋体"/>
          <w:sz w:val="24"/>
          <w:szCs w:val="24"/>
        </w:rPr>
        <w:t>时</w:t>
      </w:r>
      <w:r>
        <w:rPr>
          <w:rFonts w:ascii="宋体" w:hAnsi="宋体" w:eastAsia="宋体"/>
          <w:sz w:val="24"/>
          <w:szCs w:val="24"/>
        </w:rPr>
        <w:t>无需提供以上</w:t>
      </w:r>
      <w:r>
        <w:rPr>
          <w:rFonts w:hint="eastAsia" w:ascii="宋体" w:hAnsi="宋体" w:eastAsia="宋体"/>
          <w:sz w:val="24"/>
          <w:szCs w:val="24"/>
        </w:rPr>
        <w:t>第①</w:t>
      </w:r>
      <w:r>
        <w:rPr>
          <w:rFonts w:ascii="宋体" w:hAnsi="宋体" w:eastAsia="宋体"/>
          <w:sz w:val="24"/>
          <w:szCs w:val="24"/>
        </w:rPr>
        <w:t>项材料</w:t>
      </w:r>
      <w:r>
        <w:rPr>
          <w:rFonts w:hint="eastAsia" w:ascii="宋体" w:hAnsi="宋体" w:eastAsia="宋体"/>
          <w:sz w:val="24"/>
          <w:szCs w:val="24"/>
        </w:rPr>
        <w:t>。</w:t>
      </w:r>
      <w:r>
        <w:fldChar w:fldCharType="begin"/>
      </w:r>
      <w:r>
        <w:instrText xml:space="preserve"> HYPERLINK "mailto:" </w:instrText>
      </w:r>
      <w:r>
        <w:fldChar w:fldCharType="separate"/>
      </w:r>
      <w:r>
        <w:rPr>
          <w:rFonts w:hint="eastAsia" w:ascii="宋体" w:hAnsi="宋体" w:eastAsia="宋体"/>
          <w:sz w:val="24"/>
          <w:szCs w:val="24"/>
        </w:rPr>
        <w:t>“获取招标文件指定邮箱”为：panbh@sstc20.com</w:t>
      </w:r>
      <w:r>
        <w:rPr>
          <w:rFonts w:hint="eastAsia" w:ascii="宋体" w:hAnsi="宋体" w:eastAsia="宋体"/>
          <w:sz w:val="24"/>
          <w:szCs w:val="24"/>
        </w:rPr>
        <w:fldChar w:fldCharType="end"/>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售价：</w:t>
      </w:r>
      <w:r>
        <w:rPr>
          <w:rFonts w:ascii="宋体" w:hAnsi="宋体" w:eastAsia="宋体"/>
          <w:sz w:val="24"/>
          <w:szCs w:val="24"/>
        </w:rPr>
        <w:t>人民币</w:t>
      </w:r>
      <w:r>
        <w:rPr>
          <w:rFonts w:hint="eastAsia" w:ascii="宋体" w:hAnsi="宋体" w:eastAsia="宋体"/>
          <w:sz w:val="24"/>
          <w:szCs w:val="24"/>
        </w:rPr>
        <w:t>500</w:t>
      </w:r>
      <w:r>
        <w:rPr>
          <w:rFonts w:ascii="宋体" w:hAnsi="宋体" w:eastAsia="宋体"/>
          <w:sz w:val="24"/>
          <w:szCs w:val="24"/>
        </w:rPr>
        <w:t>元/包</w:t>
      </w:r>
      <w:r>
        <w:rPr>
          <w:rFonts w:hint="eastAsia" w:ascii="宋体" w:hAnsi="宋体" w:eastAsia="宋体"/>
          <w:sz w:val="24"/>
          <w:szCs w:val="24"/>
        </w:rPr>
        <w:t>。</w:t>
      </w:r>
    </w:p>
    <w:p>
      <w:pPr>
        <w:pStyle w:val="3"/>
        <w:spacing w:before="0" w:after="0" w:line="360" w:lineRule="auto"/>
        <w:ind w:firstLine="482" w:firstLineChars="200"/>
        <w:jc w:val="left"/>
        <w:rPr>
          <w:rFonts w:ascii="宋体" w:hAnsi="宋体" w:eastAsia="宋体" w:cstheme="minorBidi"/>
          <w:sz w:val="24"/>
          <w:szCs w:val="24"/>
        </w:rPr>
      </w:pPr>
      <w:bookmarkStart w:id="21" w:name="_Toc28359082"/>
      <w:bookmarkStart w:id="22" w:name="_Toc28359005"/>
      <w:bookmarkStart w:id="23" w:name="_Toc35393793"/>
      <w:bookmarkStart w:id="24" w:name="_Toc35393624"/>
      <w:bookmarkStart w:id="25" w:name="_Toc80886801"/>
      <w:r>
        <w:rPr>
          <w:rFonts w:hint="eastAsia" w:ascii="宋体" w:hAnsi="宋体" w:eastAsia="宋体" w:cstheme="minorBidi"/>
          <w:sz w:val="24"/>
          <w:szCs w:val="24"/>
        </w:rPr>
        <w:t>四、提交投标文件</w:t>
      </w:r>
      <w:bookmarkEnd w:id="21"/>
      <w:bookmarkEnd w:id="22"/>
      <w:r>
        <w:rPr>
          <w:rFonts w:hint="eastAsia" w:ascii="宋体" w:hAnsi="宋体" w:eastAsia="宋体" w:cstheme="minorBidi"/>
          <w:sz w:val="24"/>
          <w:szCs w:val="24"/>
        </w:rPr>
        <w:t>截止时间、开标时间和地点</w:t>
      </w:r>
      <w:bookmarkEnd w:id="23"/>
      <w:bookmarkEnd w:id="24"/>
      <w:bookmarkEnd w:id="25"/>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投标截止时间、开标时间：</w:t>
      </w:r>
      <w:r>
        <w:rPr>
          <w:rFonts w:hint="eastAsia" w:ascii="宋体" w:hAnsi="宋体" w:eastAsia="宋体"/>
          <w:color w:val="FF0000"/>
          <w:sz w:val="24"/>
          <w:szCs w:val="24"/>
        </w:rPr>
        <w:t>2021年__月__日</w:t>
      </w:r>
      <w:r>
        <w:rPr>
          <w:rFonts w:ascii="宋体" w:hAnsi="宋体" w:eastAsia="宋体"/>
          <w:sz w:val="24"/>
          <w:szCs w:val="24"/>
        </w:rPr>
        <w:t>09</w:t>
      </w:r>
      <w:r>
        <w:rPr>
          <w:rFonts w:hint="eastAsia" w:ascii="宋体" w:hAnsi="宋体" w:eastAsia="宋体"/>
          <w:sz w:val="24"/>
          <w:szCs w:val="24"/>
        </w:rPr>
        <w:t>点</w:t>
      </w:r>
      <w:r>
        <w:rPr>
          <w:rFonts w:ascii="宋体" w:hAnsi="宋体" w:eastAsia="宋体"/>
          <w:sz w:val="24"/>
          <w:szCs w:val="24"/>
        </w:rPr>
        <w:t>30</w:t>
      </w:r>
      <w:r>
        <w:rPr>
          <w:rFonts w:hint="eastAsia" w:ascii="宋体" w:hAnsi="宋体" w:eastAsia="宋体"/>
          <w:sz w:val="24"/>
          <w:szCs w:val="24"/>
        </w:rPr>
        <w:t>分（北京时间）。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开标地点：</w:t>
      </w:r>
      <w:r>
        <w:rPr>
          <w:rFonts w:ascii="宋体" w:hAnsi="宋体" w:eastAsia="宋体"/>
          <w:sz w:val="24"/>
          <w:szCs w:val="24"/>
        </w:rPr>
        <w:t>北京市海淀大街8号中钢国际广场</w:t>
      </w:r>
      <w:r>
        <w:rPr>
          <w:rFonts w:ascii="宋体" w:hAnsi="宋体" w:eastAsia="宋体"/>
          <w:color w:val="FF0000"/>
          <w:sz w:val="24"/>
          <w:szCs w:val="24"/>
        </w:rPr>
        <w:t>16</w:t>
      </w:r>
      <w:r>
        <w:rPr>
          <w:rFonts w:hint="eastAsia" w:ascii="宋体" w:hAnsi="宋体" w:eastAsia="宋体"/>
          <w:color w:val="FF0000"/>
          <w:sz w:val="24"/>
          <w:szCs w:val="24"/>
        </w:rPr>
        <w:t>层</w:t>
      </w:r>
      <w:r>
        <w:rPr>
          <w:rFonts w:ascii="宋体" w:hAnsi="宋体" w:eastAsia="宋体"/>
          <w:color w:val="FF0000"/>
          <w:sz w:val="24"/>
          <w:szCs w:val="24"/>
        </w:rPr>
        <w:t>会议室</w:t>
      </w:r>
      <w:r>
        <w:rPr>
          <w:rFonts w:ascii="宋体" w:hAnsi="宋体" w:eastAsia="宋体"/>
          <w:sz w:val="24"/>
          <w:szCs w:val="24"/>
        </w:rPr>
        <w:t>。</w:t>
      </w:r>
    </w:p>
    <w:p>
      <w:pPr>
        <w:pStyle w:val="3"/>
        <w:spacing w:before="0" w:after="0" w:line="360" w:lineRule="auto"/>
        <w:ind w:firstLine="482" w:firstLineChars="200"/>
        <w:jc w:val="left"/>
        <w:rPr>
          <w:rFonts w:ascii="宋体" w:hAnsi="宋体" w:eastAsia="宋体" w:cstheme="minorBidi"/>
          <w:sz w:val="24"/>
          <w:szCs w:val="24"/>
        </w:rPr>
      </w:pPr>
      <w:bookmarkStart w:id="26" w:name="_Toc80886802"/>
      <w:bookmarkStart w:id="27" w:name="_Toc35393794"/>
      <w:bookmarkStart w:id="28" w:name="_Toc28359007"/>
      <w:bookmarkStart w:id="29" w:name="_Toc28359084"/>
      <w:bookmarkStart w:id="30" w:name="_Toc35393625"/>
      <w:r>
        <w:rPr>
          <w:rFonts w:hint="eastAsia" w:ascii="宋体" w:hAnsi="宋体" w:eastAsia="宋体" w:cstheme="minorBidi"/>
          <w:sz w:val="24"/>
          <w:szCs w:val="24"/>
        </w:rPr>
        <w:t>五、公告期限</w:t>
      </w:r>
      <w:bookmarkEnd w:id="26"/>
      <w:bookmarkEnd w:id="27"/>
      <w:bookmarkEnd w:id="28"/>
      <w:bookmarkEnd w:id="29"/>
      <w:bookmarkEnd w:id="30"/>
    </w:p>
    <w:p>
      <w:pPr>
        <w:spacing w:line="360" w:lineRule="auto"/>
        <w:ind w:firstLine="480" w:firstLineChars="200"/>
        <w:rPr>
          <w:rFonts w:ascii="宋体" w:hAnsi="宋体" w:eastAsia="宋体"/>
          <w:sz w:val="24"/>
          <w:szCs w:val="24"/>
        </w:rPr>
      </w:pPr>
      <w:r>
        <w:rPr>
          <w:rFonts w:hint="eastAsia" w:ascii="宋体" w:hAnsi="宋体" w:eastAsia="宋体"/>
          <w:sz w:val="24"/>
          <w:szCs w:val="24"/>
        </w:rPr>
        <w:t>本项目招标公告的期限为自本公告发布之日起5个工作日。</w:t>
      </w:r>
    </w:p>
    <w:p>
      <w:pPr>
        <w:pStyle w:val="3"/>
        <w:spacing w:before="0" w:after="0" w:line="360" w:lineRule="auto"/>
        <w:ind w:firstLine="482" w:firstLineChars="200"/>
        <w:jc w:val="left"/>
        <w:rPr>
          <w:rFonts w:ascii="宋体" w:hAnsi="宋体" w:eastAsia="宋体" w:cstheme="minorBidi"/>
          <w:sz w:val="24"/>
          <w:szCs w:val="24"/>
        </w:rPr>
      </w:pPr>
      <w:bookmarkStart w:id="31" w:name="_Toc80886803"/>
      <w:bookmarkStart w:id="32" w:name="_Toc35393795"/>
      <w:bookmarkStart w:id="33" w:name="_Toc35393626"/>
      <w:r>
        <w:rPr>
          <w:rFonts w:hint="eastAsia" w:ascii="宋体" w:hAnsi="宋体" w:eastAsia="宋体" w:cstheme="minorBidi"/>
          <w:sz w:val="24"/>
          <w:szCs w:val="24"/>
        </w:rPr>
        <w:t>六、其他补充事宜</w:t>
      </w:r>
      <w:bookmarkEnd w:id="31"/>
      <w:bookmarkEnd w:id="32"/>
      <w:bookmarkEnd w:id="33"/>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本项目的招标公告仅在中国政府采购网（www.ccgp.gov.cn）上发布。</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.本项目评标方法和标准：综合评分法，总分100分。</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本项目需要落实的政府采购政策：节约能源、保护环境、促进中小企业及监狱企业发展、促进残疾人就业、使用信用记录结果、支持脱贫攻坚，政府采购政策具体落实情况详见招标文件。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4.标书款汇款银行信息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开户银行：中国民生银行股份有限公司北京大兴新城支行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银行账号：</w:t>
      </w:r>
      <w:r>
        <w:rPr>
          <w:rFonts w:ascii="宋体" w:hAnsi="宋体" w:eastAsia="宋体"/>
          <w:sz w:val="24"/>
          <w:szCs w:val="24"/>
        </w:rPr>
        <w:t>9576 0328 0000 0083</w:t>
      </w:r>
    </w:p>
    <w:p>
      <w:pPr>
        <w:pStyle w:val="3"/>
        <w:spacing w:before="0" w:after="0" w:line="360" w:lineRule="auto"/>
        <w:ind w:firstLine="482" w:firstLineChars="200"/>
        <w:jc w:val="left"/>
        <w:rPr>
          <w:rFonts w:ascii="宋体" w:hAnsi="宋体" w:eastAsia="宋体" w:cstheme="minorBidi"/>
          <w:sz w:val="24"/>
          <w:szCs w:val="24"/>
        </w:rPr>
      </w:pPr>
      <w:bookmarkStart w:id="34" w:name="_Toc28359085"/>
      <w:bookmarkStart w:id="35" w:name="_Toc28359008"/>
      <w:bookmarkStart w:id="36" w:name="_Toc35393627"/>
      <w:bookmarkStart w:id="37" w:name="_Toc35393796"/>
      <w:bookmarkStart w:id="38" w:name="_Toc80886804"/>
      <w:r>
        <w:rPr>
          <w:rFonts w:hint="eastAsia" w:ascii="宋体" w:hAnsi="宋体" w:eastAsia="宋体" w:cstheme="minorBidi"/>
          <w:sz w:val="24"/>
          <w:szCs w:val="24"/>
        </w:rPr>
        <w:t>七、对本次招标提出询问，请按</w:t>
      </w:r>
      <w:r>
        <w:rPr>
          <w:rFonts w:ascii="宋体" w:hAnsi="宋体" w:eastAsia="宋体" w:cstheme="minorBidi"/>
          <w:sz w:val="24"/>
          <w:szCs w:val="24"/>
        </w:rPr>
        <w:t>以下方式</w:t>
      </w:r>
      <w:r>
        <w:rPr>
          <w:rFonts w:hint="eastAsia" w:ascii="宋体" w:hAnsi="宋体" w:eastAsia="宋体" w:cstheme="minorBidi"/>
          <w:sz w:val="24"/>
          <w:szCs w:val="24"/>
        </w:rPr>
        <w:t>联系</w:t>
      </w:r>
      <w:bookmarkEnd w:id="34"/>
      <w:bookmarkEnd w:id="35"/>
      <w:bookmarkEnd w:id="36"/>
      <w:bookmarkEnd w:id="37"/>
      <w:bookmarkEnd w:id="38"/>
    </w:p>
    <w:p>
      <w:pPr>
        <w:spacing w:line="360" w:lineRule="auto"/>
        <w:ind w:firstLine="480" w:firstLineChars="200"/>
        <w:rPr>
          <w:rFonts w:ascii="宋体" w:hAnsi="宋体" w:eastAsia="宋体"/>
          <w:sz w:val="24"/>
          <w:szCs w:val="24"/>
        </w:rPr>
      </w:pPr>
      <w:r>
        <w:rPr>
          <w:rFonts w:hint="eastAsia" w:ascii="宋体" w:hAnsi="宋体" w:eastAsia="宋体"/>
          <w:sz w:val="24"/>
          <w:szCs w:val="24"/>
        </w:rPr>
        <w:t>1.采购人信息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名    称：外交部机关及驻外机构服务中心集中采购中心</w:t>
      </w:r>
    </w:p>
    <w:p>
      <w:pPr>
        <w:spacing w:line="360" w:lineRule="auto"/>
        <w:ind w:firstLine="480" w:firstLineChars="200"/>
        <w:rPr>
          <w:rFonts w:ascii="宋体" w:hAnsi="宋体" w:eastAsia="宋体" w:cs="Times New Roman"/>
          <w:sz w:val="24"/>
          <w:szCs w:val="24"/>
        </w:rPr>
      </w:pPr>
      <w:bookmarkStart w:id="39" w:name="_Toc28359086"/>
      <w:bookmarkStart w:id="40" w:name="_Toc28359009"/>
      <w:r>
        <w:rPr>
          <w:rFonts w:hint="eastAsia" w:ascii="宋体" w:hAnsi="宋体" w:eastAsia="宋体" w:cs="Times New Roman"/>
          <w:sz w:val="24"/>
          <w:szCs w:val="24"/>
        </w:rPr>
        <w:t>地    址：</w:t>
      </w:r>
      <w:r>
        <w:rPr>
          <w:rFonts w:hint="eastAsia" w:ascii="宋体" w:hAnsi="宋体" w:eastAsia="宋体" w:cs="Times New Roman"/>
          <w:kern w:val="0"/>
          <w:sz w:val="24"/>
          <w:szCs w:val="20"/>
          <w:lang w:val="zh-TW"/>
        </w:rPr>
        <w:t>北京市东城区干面胡同57号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联系方式：</w:t>
      </w:r>
      <w:r>
        <w:rPr>
          <w:rFonts w:hint="eastAsia" w:ascii="宋体" w:hAnsi="宋体" w:eastAsia="宋体" w:cs="Times New Roman"/>
          <w:kern w:val="0"/>
          <w:sz w:val="24"/>
          <w:szCs w:val="20"/>
          <w:lang w:val="zh-TW"/>
        </w:rPr>
        <w:t>010-85179163</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2.采购代理机构信息</w:t>
      </w:r>
      <w:bookmarkEnd w:id="39"/>
      <w:bookmarkEnd w:id="40"/>
    </w:p>
    <w:p>
      <w:pPr>
        <w:spacing w:line="360" w:lineRule="auto"/>
        <w:ind w:firstLine="480" w:firstLineChars="200"/>
        <w:rPr>
          <w:rFonts w:ascii="宋体" w:hAnsi="宋体" w:eastAsia="宋体"/>
          <w:sz w:val="24"/>
          <w:szCs w:val="24"/>
        </w:rPr>
      </w:pPr>
      <w:r>
        <w:rPr>
          <w:rFonts w:hint="eastAsia" w:ascii="宋体" w:hAnsi="宋体" w:eastAsia="宋体"/>
          <w:sz w:val="24"/>
          <w:szCs w:val="24"/>
        </w:rPr>
        <w:t>名    称：中钢招标有限责任公司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    址：北京市海淀区海淀大街8号中钢国际广场16层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联系方式：</w:t>
      </w:r>
      <w:bookmarkStart w:id="41" w:name="_Toc28359010"/>
      <w:bookmarkStart w:id="42" w:name="_Toc28359087"/>
      <w:r>
        <w:rPr>
          <w:rFonts w:ascii="宋体" w:hAnsi="宋体" w:eastAsia="宋体"/>
          <w:sz w:val="24"/>
          <w:szCs w:val="24"/>
        </w:rPr>
        <w:t>010-62688251</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3.项目</w:t>
      </w:r>
      <w:r>
        <w:rPr>
          <w:rFonts w:ascii="宋体" w:hAnsi="宋体" w:eastAsia="宋体"/>
          <w:sz w:val="24"/>
          <w:szCs w:val="24"/>
        </w:rPr>
        <w:t>联系方式</w:t>
      </w:r>
      <w:bookmarkEnd w:id="41"/>
      <w:bookmarkEnd w:id="4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项目联系人：潘炳衡、杨俏、张贺、孔伟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    话：010-62688230、8226、8211、8251、</w:t>
      </w:r>
    </w:p>
    <w:p>
      <w:pPr>
        <w:spacing w:line="360" w:lineRule="auto"/>
        <w:ind w:firstLine="480" w:firstLineChars="200"/>
        <w:rPr>
          <w:rFonts w:ascii="Times New Roman" w:hAnsi="Times New Roman" w:eastAsia="宋体" w:cs="Times New Roman"/>
          <w:szCs w:val="24"/>
        </w:rPr>
      </w:pPr>
      <w:r>
        <w:rPr>
          <w:rFonts w:hint="eastAsia" w:ascii="宋体" w:hAnsi="宋体" w:eastAsia="宋体" w:cs="Times New Roman"/>
          <w:sz w:val="24"/>
          <w:szCs w:val="24"/>
        </w:rPr>
        <w:t>邮    箱：panbh</w:t>
      </w:r>
      <w:r>
        <w:fldChar w:fldCharType="begin"/>
      </w:r>
      <w:r>
        <w:instrText xml:space="preserve"> HYPERLINK "mailto:____@sstc20.com" </w:instrText>
      </w:r>
      <w:r>
        <w:fldChar w:fldCharType="separate"/>
      </w:r>
      <w:r>
        <w:rPr>
          <w:rFonts w:ascii="宋体" w:hAnsi="宋体" w:eastAsia="宋体" w:cs="Times New Roman"/>
          <w:sz w:val="24"/>
          <w:szCs w:val="24"/>
        </w:rPr>
        <w:t>@sstc20.com</w:t>
      </w:r>
      <w:r>
        <w:rPr>
          <w:rFonts w:ascii="宋体" w:hAnsi="宋体" w:eastAsia="宋体" w:cs="Times New Roman"/>
          <w:sz w:val="24"/>
          <w:szCs w:val="24"/>
        </w:rPr>
        <w:fldChar w:fldCharType="end"/>
      </w:r>
    </w:p>
    <w:p>
      <w:pPr>
        <w:spacing w:line="360" w:lineRule="auto"/>
        <w:ind w:firstLine="480" w:firstLineChars="200"/>
        <w:jc w:val="right"/>
        <w:rPr>
          <w:rFonts w:ascii="宋体" w:hAnsi="宋体" w:eastAsia="宋体"/>
          <w:sz w:val="24"/>
          <w:szCs w:val="24"/>
        </w:rPr>
      </w:pPr>
      <w:r>
        <w:rPr>
          <w:rFonts w:hint="eastAsia" w:ascii="宋体" w:hAnsi="宋体" w:eastAsia="宋体"/>
          <w:sz w:val="24"/>
          <w:szCs w:val="24"/>
        </w:rPr>
        <w:t>中钢招标有限责任公司</w:t>
      </w:r>
    </w:p>
    <w:p>
      <w:pPr>
        <w:wordWrap w:val="0"/>
        <w:spacing w:line="360" w:lineRule="auto"/>
        <w:ind w:firstLine="480" w:firstLineChars="200"/>
        <w:jc w:val="right"/>
        <w:rPr>
          <w:rFonts w:ascii="宋体" w:hAnsi="宋体" w:eastAsia="宋体"/>
          <w:sz w:val="24"/>
          <w:szCs w:val="24"/>
        </w:rPr>
      </w:pPr>
      <w:r>
        <w:rPr>
          <w:rFonts w:hint="eastAsia" w:ascii="宋体" w:hAnsi="宋体" w:eastAsia="宋体"/>
          <w:color w:val="FF0000"/>
          <w:sz w:val="24"/>
          <w:szCs w:val="24"/>
        </w:rPr>
        <w:t xml:space="preserve">2021年__月__日  </w:t>
      </w:r>
    </w:p>
    <w:p>
      <w:pPr>
        <w:widowControl/>
        <w:jc w:val="left"/>
        <w:rPr>
          <w:rFonts w:ascii="宋体" w:hAnsi="宋体" w:eastAsia="宋体"/>
          <w:sz w:val="24"/>
          <w:szCs w:val="24"/>
        </w:rPr>
      </w:pPr>
      <w:r>
        <w:rPr>
          <w:rFonts w:ascii="宋体" w:hAnsi="宋体" w:eastAsia="宋体"/>
          <w:sz w:val="24"/>
          <w:szCs w:val="24"/>
        </w:rPr>
        <w:br w:type="page"/>
      </w:r>
    </w:p>
    <w:p>
      <w:pPr>
        <w:pStyle w:val="2"/>
        <w:spacing w:before="0" w:after="0"/>
        <w:jc w:val="center"/>
        <w:rPr>
          <w:rFonts w:ascii="宋体" w:hAnsi="宋体" w:eastAsia="宋体"/>
          <w:sz w:val="32"/>
          <w:szCs w:val="32"/>
        </w:rPr>
      </w:pPr>
      <w:bookmarkStart w:id="43" w:name="_Toc226965827"/>
      <w:bookmarkStart w:id="44" w:name="_Toc264969244"/>
      <w:bookmarkStart w:id="45" w:name="_Toc226337250"/>
      <w:bookmarkStart w:id="46" w:name="_Toc150774759"/>
      <w:bookmarkStart w:id="47" w:name="_Toc150480792"/>
      <w:bookmarkStart w:id="48" w:name="_Toc142311056"/>
      <w:bookmarkStart w:id="49" w:name="_Toc127151554"/>
      <w:bookmarkStart w:id="50" w:name="_Toc265228392"/>
      <w:bookmarkStart w:id="51" w:name="_Toc305158896"/>
      <w:bookmarkStart w:id="52" w:name="_Toc305158822"/>
      <w:bookmarkStart w:id="53" w:name="_Toc353873664"/>
      <w:bookmarkStart w:id="54" w:name="_Toc353873934"/>
      <w:bookmarkStart w:id="55" w:name="_Toc353825544"/>
      <w:bookmarkStart w:id="56" w:name="_Toc43715858"/>
      <w:bookmarkStart w:id="57" w:name="_Toc80886814"/>
      <w:r>
        <w:rPr>
          <w:rFonts w:hint="eastAsia" w:ascii="宋体" w:hAnsi="宋体" w:eastAsia="宋体"/>
          <w:sz w:val="32"/>
          <w:szCs w:val="32"/>
        </w:rPr>
        <w:t xml:space="preserve">第三章 </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hint="eastAsia" w:ascii="宋体" w:hAnsi="宋体" w:eastAsia="宋体"/>
          <w:sz w:val="32"/>
          <w:szCs w:val="32"/>
        </w:rPr>
        <w:t>合同草案条款</w:t>
      </w:r>
      <w:bookmarkEnd w:id="57"/>
    </w:p>
    <w:p>
      <w:pPr>
        <w:spacing w:line="360" w:lineRule="auto"/>
        <w:jc w:val="center"/>
        <w:rPr>
          <w:rFonts w:ascii="宋体" w:hAnsi="宋体" w:eastAsia="宋体"/>
          <w:sz w:val="24"/>
          <w:szCs w:val="24"/>
        </w:rPr>
      </w:pPr>
      <w:bookmarkStart w:id="58" w:name="_Hlt487972895"/>
      <w:bookmarkEnd w:id="58"/>
      <w:r>
        <w:rPr>
          <w:rFonts w:hint="eastAsia" w:ascii="宋体" w:hAnsi="宋体" w:eastAsia="宋体"/>
          <w:sz w:val="24"/>
          <w:szCs w:val="24"/>
        </w:rPr>
        <w:t>（本章节所提供的文本为合同草案，具体签订合同以实际为准）</w:t>
      </w:r>
    </w:p>
    <w:p>
      <w:pPr>
        <w:widowControl/>
        <w:jc w:val="left"/>
        <w:rPr>
          <w:rFonts w:ascii="宋体" w:hAnsi="宋体" w:eastAsia="宋体"/>
          <w:sz w:val="24"/>
          <w:szCs w:val="24"/>
        </w:rPr>
      </w:pPr>
      <w:r>
        <w:rPr>
          <w:rFonts w:ascii="宋体" w:hAnsi="宋体" w:eastAsia="宋体"/>
          <w:sz w:val="24"/>
          <w:szCs w:val="24"/>
        </w:rPr>
        <w:br w:type="page"/>
      </w:r>
    </w:p>
    <w:p>
      <w:pPr>
        <w:widowControl/>
        <w:jc w:val="left"/>
        <w:rPr>
          <w:rFonts w:ascii="宋体" w:hAnsi="宋体" w:eastAsia="宋体"/>
          <w:sz w:val="32"/>
          <w:szCs w:val="24"/>
        </w:rPr>
      </w:pPr>
      <w:r>
        <w:rPr>
          <w:rFonts w:hint="eastAsia" w:ascii="宋体" w:hAnsi="宋体" w:eastAsia="宋体"/>
          <w:sz w:val="32"/>
          <w:szCs w:val="24"/>
        </w:rPr>
        <w:t>合同编号：</w:t>
      </w:r>
    </w:p>
    <w:p>
      <w:pPr>
        <w:widowControl/>
        <w:jc w:val="left"/>
        <w:rPr>
          <w:rFonts w:ascii="宋体" w:hAnsi="宋体" w:eastAsia="宋体"/>
          <w:sz w:val="32"/>
          <w:szCs w:val="24"/>
        </w:rPr>
      </w:pPr>
    </w:p>
    <w:p>
      <w:pPr>
        <w:widowControl/>
        <w:jc w:val="left"/>
        <w:rPr>
          <w:rFonts w:ascii="宋体" w:hAnsi="宋体" w:eastAsia="宋体"/>
          <w:sz w:val="32"/>
          <w:szCs w:val="24"/>
        </w:rPr>
      </w:pPr>
    </w:p>
    <w:p>
      <w:pPr>
        <w:widowControl/>
        <w:jc w:val="left"/>
        <w:rPr>
          <w:rFonts w:ascii="宋体" w:hAnsi="宋体" w:eastAsia="宋体"/>
          <w:sz w:val="32"/>
          <w:szCs w:val="24"/>
        </w:rPr>
      </w:pPr>
    </w:p>
    <w:p>
      <w:pPr>
        <w:widowControl/>
        <w:jc w:val="left"/>
        <w:rPr>
          <w:rFonts w:ascii="宋体" w:hAnsi="宋体" w:eastAsia="宋体"/>
          <w:sz w:val="32"/>
          <w:szCs w:val="24"/>
        </w:rPr>
      </w:pPr>
    </w:p>
    <w:p>
      <w:pPr>
        <w:widowControl/>
        <w:jc w:val="center"/>
        <w:rPr>
          <w:rFonts w:ascii="宋体" w:hAnsi="宋体" w:eastAsia="宋体"/>
          <w:b/>
          <w:sz w:val="44"/>
          <w:szCs w:val="24"/>
        </w:rPr>
      </w:pPr>
      <w:r>
        <w:rPr>
          <w:rFonts w:hint="eastAsia" w:ascii="宋体" w:hAnsi="宋体" w:eastAsia="宋体"/>
          <w:b/>
          <w:sz w:val="44"/>
          <w:szCs w:val="24"/>
        </w:rPr>
        <w:t>QDF-V2016业务处理与综合服务平台互联网服务系统托管服务项目合同书</w:t>
      </w: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b/>
          <w:sz w:val="44"/>
          <w:szCs w:val="24"/>
        </w:rPr>
      </w:pPr>
    </w:p>
    <w:p>
      <w:pPr>
        <w:widowControl/>
        <w:jc w:val="center"/>
        <w:rPr>
          <w:rFonts w:ascii="宋体" w:hAnsi="宋体" w:eastAsia="宋体"/>
          <w:sz w:val="32"/>
          <w:szCs w:val="24"/>
        </w:rPr>
      </w:pPr>
      <w:r>
        <w:rPr>
          <w:rFonts w:hint="eastAsia" w:ascii="宋体" w:hAnsi="宋体" w:eastAsia="宋体"/>
          <w:sz w:val="32"/>
          <w:szCs w:val="24"/>
        </w:rPr>
        <w:t>甲方（买方）：北京千代福信息技术有限公司</w:t>
      </w:r>
    </w:p>
    <w:p>
      <w:pPr>
        <w:widowControl/>
        <w:jc w:val="center"/>
        <w:rPr>
          <w:rFonts w:ascii="宋体" w:hAnsi="宋体" w:eastAsia="宋体"/>
          <w:sz w:val="32"/>
          <w:szCs w:val="24"/>
        </w:rPr>
      </w:pPr>
      <w:r>
        <w:rPr>
          <w:rFonts w:hint="eastAsia" w:ascii="宋体" w:hAnsi="宋体" w:eastAsia="宋体"/>
          <w:sz w:val="32"/>
          <w:szCs w:val="24"/>
        </w:rPr>
        <w:t>乙方（卖方）：__________________________</w:t>
      </w:r>
    </w:p>
    <w:p>
      <w:pPr>
        <w:widowControl/>
        <w:jc w:val="center"/>
        <w:rPr>
          <w:rFonts w:ascii="宋体" w:hAnsi="宋体" w:eastAsia="宋体"/>
          <w:sz w:val="32"/>
          <w:szCs w:val="24"/>
        </w:rPr>
      </w:pPr>
      <w:r>
        <w:rPr>
          <w:rFonts w:hint="eastAsia" w:ascii="宋体" w:hAnsi="宋体" w:eastAsia="宋体"/>
          <w:sz w:val="32"/>
          <w:szCs w:val="24"/>
        </w:rPr>
        <w:t>签订日期：_____________________________</w:t>
      </w:r>
    </w:p>
    <w:p>
      <w:pPr>
        <w:widowControl/>
        <w:jc w:val="left"/>
        <w:rPr>
          <w:rFonts w:ascii="宋体" w:hAnsi="宋体" w:eastAsia="宋体"/>
          <w:sz w:val="24"/>
          <w:szCs w:val="24"/>
        </w:rPr>
      </w:pPr>
      <w:r>
        <w:rPr>
          <w:rFonts w:ascii="宋体" w:hAnsi="宋体" w:eastAsia="宋体"/>
          <w:sz w:val="24"/>
          <w:szCs w:val="24"/>
        </w:rPr>
        <w:br w:type="page"/>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甲方与乙方就</w:t>
      </w:r>
      <w:r>
        <w:rPr>
          <w:rFonts w:hint="eastAsia" w:ascii="宋体" w:hAnsi="宋体" w:eastAsia="宋体"/>
          <w:sz w:val="24"/>
          <w:szCs w:val="24"/>
          <w:u w:val="single"/>
        </w:rPr>
        <w:t>QDF-V2016业务处理与综合服务平台互联网服务系统托管服务项目</w:t>
      </w:r>
      <w:r>
        <w:rPr>
          <w:rFonts w:hint="eastAsia" w:ascii="宋体" w:hAnsi="宋体" w:eastAsia="宋体"/>
          <w:sz w:val="24"/>
          <w:szCs w:val="24"/>
        </w:rPr>
        <w:t>相关事宜进行友好协商，根据《中华人民共和国民法典》的规定，按下述条款签订本合同。</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一、定义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1.本合同下列术语解释：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1.1“合同”系指买卖双方所达成的协议，包括所有的附件、附录和构成合同的其他文件。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1.2“合同价”系指根据合同约定，卖方在完全履行合同义务后买方应付给卖方的价格。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1.3“甲方”系指北京千代福信息技术有限公司。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1.4“乙方”系指</w:t>
      </w:r>
      <w:r>
        <w:rPr>
          <w:rFonts w:ascii="宋体" w:hAnsi="宋体" w:eastAsia="宋体"/>
          <w:sz w:val="24"/>
          <w:szCs w:val="24"/>
        </w:rPr>
        <w:t>__________________________</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二、合同内容及期限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2.甲方购买乙方提供的以下服务：包括</w:t>
      </w:r>
      <w:r>
        <w:rPr>
          <w:rFonts w:ascii="宋体" w:hAnsi="宋体" w:eastAsia="宋体"/>
          <w:sz w:val="24"/>
          <w:szCs w:val="24"/>
        </w:rPr>
        <w:t>_______________</w:t>
      </w:r>
      <w:r>
        <w:rPr>
          <w:rFonts w:hint="eastAsia" w:ascii="宋体" w:hAnsi="宋体" w:eastAsia="宋体"/>
          <w:sz w:val="24"/>
          <w:szCs w:val="24"/>
        </w:rPr>
        <w:t>租用服务在内的互联网服务系统托管服务，详见附件一：产品采购清单、附件二：投标文件。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2.1服务项目要求：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（1）乙方须服从甲方整体建设要求；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（2）乙方所提供的云计算服务平台需要根据《关于加强党政部门云计算服务网络安全管理的意见》（中网办发文〔2014〕14号）要求，通过相关安全评估；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（3）乙方承诺项目经理及产品经理、技术经理等不经甲方同意不能无故更换，但因人员离职、疾病等原因导致的除外；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2.2提供服务地点：</w:t>
      </w:r>
      <w:r>
        <w:rPr>
          <w:rFonts w:ascii="宋体" w:hAnsi="宋体" w:eastAsia="宋体"/>
          <w:sz w:val="24"/>
          <w:szCs w:val="24"/>
        </w:rPr>
        <w:t>____________</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2.3本合同项目下的服务期限：自2021年</w:t>
      </w:r>
      <w:r>
        <w:rPr>
          <w:rFonts w:ascii="宋体" w:hAnsi="宋体" w:eastAsia="宋体"/>
          <w:sz w:val="24"/>
          <w:szCs w:val="24"/>
        </w:rPr>
        <w:t>____</w:t>
      </w:r>
      <w:r>
        <w:rPr>
          <w:rFonts w:hint="eastAsia" w:ascii="宋体" w:hAnsi="宋体" w:eastAsia="宋体"/>
          <w:sz w:val="24"/>
          <w:szCs w:val="24"/>
        </w:rPr>
        <w:t>月</w:t>
      </w:r>
      <w:r>
        <w:rPr>
          <w:rFonts w:ascii="宋体" w:hAnsi="宋体" w:eastAsia="宋体"/>
          <w:sz w:val="24"/>
          <w:szCs w:val="24"/>
        </w:rPr>
        <w:t>____</w:t>
      </w:r>
      <w:r>
        <w:rPr>
          <w:rFonts w:hint="eastAsia" w:ascii="宋体" w:hAnsi="宋体" w:eastAsia="宋体"/>
          <w:sz w:val="24"/>
          <w:szCs w:val="24"/>
        </w:rPr>
        <w:t>日起至</w:t>
      </w:r>
      <w:r>
        <w:rPr>
          <w:rFonts w:ascii="宋体" w:hAnsi="宋体" w:eastAsia="宋体"/>
          <w:sz w:val="24"/>
          <w:szCs w:val="24"/>
        </w:rPr>
        <w:t>____</w:t>
      </w:r>
      <w:r>
        <w:rPr>
          <w:rFonts w:hint="eastAsia" w:ascii="宋体" w:hAnsi="宋体" w:eastAsia="宋体"/>
          <w:sz w:val="24"/>
          <w:szCs w:val="24"/>
        </w:rPr>
        <w:t>年</w:t>
      </w:r>
      <w:r>
        <w:rPr>
          <w:rFonts w:ascii="宋体" w:hAnsi="宋体" w:eastAsia="宋体"/>
          <w:sz w:val="24"/>
          <w:szCs w:val="24"/>
        </w:rPr>
        <w:t>____</w:t>
      </w:r>
      <w:r>
        <w:rPr>
          <w:rFonts w:hint="eastAsia" w:ascii="宋体" w:hAnsi="宋体" w:eastAsia="宋体"/>
          <w:sz w:val="24"/>
          <w:szCs w:val="24"/>
        </w:rPr>
        <w:t>月</w:t>
      </w:r>
      <w:r>
        <w:rPr>
          <w:rFonts w:ascii="宋体" w:hAnsi="宋体" w:eastAsia="宋体"/>
          <w:sz w:val="24"/>
          <w:szCs w:val="24"/>
        </w:rPr>
        <w:t>____</w:t>
      </w:r>
      <w:r>
        <w:rPr>
          <w:rFonts w:hint="eastAsia" w:ascii="宋体" w:hAnsi="宋体" w:eastAsia="宋体"/>
          <w:sz w:val="24"/>
          <w:szCs w:val="24"/>
        </w:rPr>
        <w:t>日止。</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三、合同价款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3.1本合同服务费总金额为：人民币</w:t>
      </w:r>
      <w:r>
        <w:rPr>
          <w:rFonts w:ascii="宋体" w:hAnsi="宋体" w:eastAsia="宋体"/>
          <w:sz w:val="24"/>
          <w:szCs w:val="24"/>
        </w:rPr>
        <w:t>______________________</w:t>
      </w:r>
      <w:r>
        <w:rPr>
          <w:rFonts w:hint="eastAsia" w:ascii="宋体" w:hAnsi="宋体" w:eastAsia="宋体"/>
          <w:sz w:val="24"/>
          <w:szCs w:val="24"/>
        </w:rPr>
        <w:t>（大写）圆整（￥</w:t>
      </w:r>
      <w:r>
        <w:rPr>
          <w:rFonts w:ascii="宋体" w:hAnsi="宋体" w:eastAsia="宋体"/>
          <w:sz w:val="24"/>
          <w:szCs w:val="24"/>
        </w:rPr>
        <w:t>_________________</w:t>
      </w:r>
      <w:r>
        <w:rPr>
          <w:rFonts w:hint="eastAsia" w:ascii="宋体" w:hAnsi="宋体" w:eastAsia="宋体"/>
          <w:sz w:val="24"/>
          <w:szCs w:val="24"/>
        </w:rPr>
        <w:t>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3.2服务支出包括：</w:t>
      </w:r>
      <w:r>
        <w:rPr>
          <w:rFonts w:ascii="宋体" w:hAnsi="宋体" w:eastAsia="宋体"/>
          <w:sz w:val="24"/>
          <w:szCs w:val="24"/>
        </w:rPr>
        <w:t>______</w:t>
      </w:r>
      <w:r>
        <w:rPr>
          <w:rFonts w:hint="eastAsia" w:ascii="宋体" w:hAnsi="宋体" w:eastAsia="宋体"/>
          <w:sz w:val="24"/>
          <w:szCs w:val="24"/>
        </w:rPr>
        <w:t>公有云租用服务，详见附件一：产品采购清单。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3.3若甲方需对本项目进行扩容，乙方承诺并保证对于扩容单价至少维持本投标文件中承诺的折扣，并力争提供更优惠的折扣。</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四、支付和结算方式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4.1双方因本合同发生的一切费用均以人民币结算及支付。项目费用为固定价格，合同内不作调整，如需调整，由双方达成相关补充协议。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4.2双方的帐户名称、开户银行及帐号以本合同提供的为准。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4.3付款方式：</w:t>
      </w:r>
      <w:r>
        <w:rPr>
          <w:rFonts w:hint="eastAsia" w:ascii="宋体" w:hAnsi="宋体" w:eastAsia="宋体"/>
          <w:sz w:val="24"/>
          <w:szCs w:val="24"/>
          <w:u w:val="single"/>
        </w:rPr>
        <w:t>分期付款</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4.4第一次付款：自本合同生效后，乙方提交发票，甲方在履行完必要的手续后（不超过30个日历日），向乙方支付合同金额的60%，即人民币</w:t>
      </w:r>
      <w:r>
        <w:rPr>
          <w:rFonts w:ascii="宋体" w:hAnsi="宋体" w:eastAsia="宋体"/>
          <w:sz w:val="24"/>
          <w:szCs w:val="24"/>
        </w:rPr>
        <w:t>______</w:t>
      </w:r>
      <w:r>
        <w:rPr>
          <w:rFonts w:hint="eastAsia" w:ascii="宋体" w:hAnsi="宋体" w:eastAsia="宋体"/>
          <w:sz w:val="24"/>
          <w:szCs w:val="24"/>
        </w:rPr>
        <w:t>元（人民币大写：</w:t>
      </w:r>
      <w:r>
        <w:rPr>
          <w:rFonts w:ascii="宋体" w:hAnsi="宋体" w:eastAsia="宋体"/>
          <w:sz w:val="24"/>
          <w:szCs w:val="24"/>
        </w:rPr>
        <w:t>______</w:t>
      </w:r>
      <w:r>
        <w:rPr>
          <w:rFonts w:hint="eastAsia" w:ascii="宋体" w:hAnsi="宋体" w:eastAsia="宋体"/>
          <w:sz w:val="24"/>
          <w:szCs w:val="24"/>
        </w:rPr>
        <w:t>圆整）。（在未支付第一笔款项之前，不影响甲乙双方合同执行的效力。）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4.5第二次付款：项目验收完成后，乙方提交发票，甲方在履行完必要的手续后（不超过30个日历日），向乙方支付合同金额的40%，即共计人民币￥</w:t>
      </w:r>
      <w:r>
        <w:rPr>
          <w:rFonts w:ascii="宋体" w:hAnsi="宋体" w:eastAsia="宋体"/>
          <w:sz w:val="24"/>
          <w:szCs w:val="24"/>
        </w:rPr>
        <w:t>______</w:t>
      </w:r>
      <w:r>
        <w:rPr>
          <w:rFonts w:hint="eastAsia" w:ascii="宋体" w:hAnsi="宋体" w:eastAsia="宋体"/>
          <w:sz w:val="24"/>
          <w:szCs w:val="24"/>
        </w:rPr>
        <w:t>元（人民币大写：</w:t>
      </w:r>
      <w:r>
        <w:rPr>
          <w:rFonts w:ascii="宋体" w:hAnsi="宋体" w:eastAsia="宋体"/>
          <w:sz w:val="24"/>
          <w:szCs w:val="24"/>
        </w:rPr>
        <w:t>______</w:t>
      </w:r>
      <w:r>
        <w:rPr>
          <w:rFonts w:hint="eastAsia" w:ascii="宋体" w:hAnsi="宋体" w:eastAsia="宋体"/>
          <w:sz w:val="24"/>
          <w:szCs w:val="24"/>
        </w:rPr>
        <w:t>圆整）。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4.6甲方发票信息：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发票抬头：北京千代福信息技术有限公司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发票类型：增值税专用发票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开户银行：招商银行北京分行三里屯支行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银行账号：110906407210902</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纳税人识别号（统一社会信用代码）：91110101685123117R</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注册地址：北京市东城区南竹杆胡同2号1幢11层31201</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五、甲乙双方权利义务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5.1甲方的权利和义务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5.1.1根据需要向乙方以书面形式下达工作任务。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5.1.2根据项目要求，监督乙方的服务质量。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5.1.3协调乙方在提供服务过程相关的政府部门和单位有关事宜。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5.2乙方的权利和义务：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5.2.1乙方可要求甲方按本合同的规定按时足额拨付项目经费。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5.2.2应依法独立完成的工作任务，未经甲方允许，不得以任何形式转包于其他机构。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5.2.3乙方应严格按照服务承诺完成相关工作。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5.2.4乙方对甲方提供的资料负有保密义务。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5.2.5乙方应针对甲方系统业务特点，提供完整配套的网络防护、安全检测、漏洞扫描、抵御黑客攻击和安全管家等安全服务，确保提供的网络安全服务符合信息系统安全等级保护三级备案。如乙方提供的服务不满足甲方安全防护要求，乙方应无条件按甲方要求进行整改，所涉及的相关费用由乙方自行承担。</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六、交付与验收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6.1甲乙方项目交付进度、验收报告文档的确认：甲方授权甲方相关人员通过电子邮件（邮箱地址：jishubu@visaforchina.org）、乙方授权乙方相关人员通过电子邮件（邮箱地址：</w:t>
      </w:r>
      <w:r>
        <w:rPr>
          <w:rFonts w:ascii="宋体" w:hAnsi="宋体" w:eastAsia="宋体"/>
          <w:sz w:val="24"/>
          <w:szCs w:val="24"/>
        </w:rPr>
        <w:t>__________________</w:t>
      </w:r>
      <w:r>
        <w:rPr>
          <w:rFonts w:hint="eastAsia" w:ascii="宋体" w:hAnsi="宋体" w:eastAsia="宋体"/>
          <w:sz w:val="24"/>
          <w:szCs w:val="24"/>
        </w:rPr>
        <w:t>）对交付进度、验收文档、验收报告进行确认，前述人员的邮件确认行为代表双方的真实意思表示，对双方具有法律约束力。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6.2乙方应负责本项目下标的资源地分配和配置工作，于合同约定之日前完成上述工作，并负责制作、更新相关项目手册。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6.3乙方应书面通知甲方进行验收。甲方应在收到乙方验收申请后30日内对项目进行验收，若项目符合标的约定，甲方应出具验收报告；若项目不符合标的约定，乙方应按标的进行更改、优化。乙方应在通过验收7个工作日内，向甲方提供完整的与上述工作相关的技术文档和配置参数。</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七、知识产权和使用权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7.1知识产权和使用权归属：</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双方各自享有的商标权、著作权或者其他知识产权，均仍归各方单独享有，并不会因为双方签订或者履行本协议而转归对方享有，或者转归双方共同享有。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 乙方应保证，甲方在使用乙方提供的服务或与服务配套的货物时，免受第三方提出的侵犯其专利权、商标权或工业设计权等的起诉。如果任何第三方提出侵权指控，卖方须与第三方交涉并承担由此发生的一切责任、费用和经济赔偿。</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八、履约保证金和预付款保证金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8.履约保证金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8.1乙方在合同签订后且甲方付款前，向甲方提供相当于合同总价5%的履约保证金。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8.2乙方的履约保证金将在合同执行完成并且甲方完成支付后15个工作日内提交退款手续办理退保证金事宜。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8.3乙方以履约保函的形式向甲方提供履约保证金。</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九、违约责任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9.1因乙方原因导致合同标的无法实现或未按规定时间提供服务的，则每延迟一天应向甲方支付合同总金额0.3‰的违约金。乙方应支付违约金的最高金额不超过合同总金额的20%。逾期超过30日的，甲方有权发出书面通知解除合同。发生合同解除时，乙方应退还甲方已支付的合同款，甲方有权要求乙方支付合同总金额20%的违约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9.2若乙方在合同履行过程中提出单方面中止、解除合同，则甲方有权选择要求乙方继续履行，并承担迟延履行的违约责任，或者在乙方支付合同总金额的20%的违约金，并退还全部已支付款项的情况下，选择解除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9.3在符合合同约定的付款条件的情况下，甲方延迟付款，每逾期一日，乙方有权要求甲方按照应付金额的0.3‰的比例向乙方支付违约金。逾期超过30日的，乙方有权解除合同，并要求甲方支付已完成的工作对应的款项。甲方应支付违约金的最高金额不超过合同总金额的20%。</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9.4如出现乙方违约情况，甲方有权将乙方根据合同约定应向甲方支付的违约金直接从甲方根据本条应向乙方支付的款项中直接扣除。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9.5在相关法律所允许的最大范围内，任何一方均不就另一方附带、间接的、偶然的损失承担责任。</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十、不可抗力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10.1不可抗力指下列事件：战争、动乱、瘟疫、严重火灾、洪水、地震、风暴或其他自然灾害、疫情等，以及本合同各方不可预见、不可防止并不能避免或克服的一切其他因素及事件。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10.4合同各方应根据不可抗力对本合同履行的影响程度，协商确定是否终止本合同，或是继续履行本合同。</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十一、联系方式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11.2合同双方发出的与本合同有关的通知或回复均应发至合同条款专用部分中的通讯地址，付款或收款应使用合同条款专用部分中的帐号，一方变更通讯地址或帐号，应自变更之日起三个工作日内，将变更后的地址通知对方。变更方不履行通知义务的，应对此造成的一切后果承担法律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上述发出通知、回复的费用由发出一方承担。</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十二、保密条款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12.1任何一方对其获知的本合同及附件中其他各方的商业秘密和国家秘密负有保密义务。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12.2在下列情形下：当发布中标公告和其它公告时，当国家机关调查、审查、审计时，以及其他符合法律规定的情形下，无须事先征求甲方/乙方同意而可以披露关于采购过程、合同文本、签署情况的资料、甲方/乙方的名称及地址、采购内容的有关信息以及补充条款等，但应当在合理的必要范围内。对任何已经公布过的内容或与之内容相同的资料，以及甲方/乙方已经泄露或公开的，无须再承担保密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12.3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十三、合同的解释和法律适用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13.1任何一方对本合同及其附件的解释均应遵循诚实信用原则,依照本合同签订时有效的中国法律、法规以及通常的理解进行。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13.2本合同标题仅供查阅方便，并非对本合同的诠释或解释；本合同中以日表述的时间期限均指自然日。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13.3对本合同的任何解释均应以书面做出。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13.4本合同及附件的订立、效力、解释、履行、争议的解决等适用本合同签订时有效的中华人民共和国法律、法规的有关规定。</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十四、合同的终止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14.1本合同因下列原因而终止：</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14.1.1本合同正常履行完毕。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14.1.2合同双方协议终止本合同的履行。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14.1.3不可抗力事件导致本合同无法履行或履行不必要。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14.1.4任何一方行使解除权，解除本合同。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14.2转移协助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本合同期届满或者因乙方原因导致甲方终止合同的，乙方应采取一切必要与合理方式将处于乙方管理下的应归甲方所有的硬件、软件产品以及甲方业务数据等，及时转移并交付给甲方或者甲方指定的第三方，所需费用已经包括在本合同价款内，甲方无须为此另行向乙方付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因甲方原因导致乙方终止合同的，乙方应采取一切必要与合理方式将处于乙方管理下的应归甲方所有的硬件、软件产品以及甲方业务数据等，及时转移并交付给甲方或者甲方指定的第三方，但甲方应当为此支付合理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（3）若甲方希望乙方在本合同终止或届满时协助甲方将乙方根据本合同提供的服务转移至甲方、甲方关联公司或第三方时，应甲方合理的书面要求，乙方按照以下方式向甲方提供该转移协助：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（3.1）乙方同意使用其当时在本合同下提供服务的现有人员来提供该等甲方要求的转移协助并且不超过本合同到期日或终止之日起计30日；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（3.2）若一方提供转移协助时需要使用乙方当时用于提供服务的资源以外的其他或额外的服务或资源，则该等转移协助的要求应视作新增服务。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14.3对本合同终止有过错的一方应赔偿另一方因合同终止而受到的损失。对合同终止双方均无过错的，则各自承担所受到的损失。</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十五、权利的保留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十六、争议的解决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16.1合同双方应通过友好协商解决因解释﹑执行本合同所发生的和本合同有关的一切争议。如果经协商不能达成协议，则双方同意按照16.1.1约定处理：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16.1.1在甲方住所地有管辖权的人民法院提起诉讼；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16.1.2由贸易仲裁委员会根据其现行有效的仲裁程序进行仲裁。仲裁裁决为最终裁决对双方均具有约束力。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16.3在争议解决期间，除了诉讼或仲裁进行过程中正在解决的那部分问题外，合同其余部分应继续履行。</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十七、合同的补充修改和变更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17.1双方协商一致，可以对本合同进行补充、修改或变更。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17.2对本合同的补充、修改或变更必须以书面形式进行。补充、修改或变更的协议的签署及生效方式与本合同的签署及生效方式相同。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17.3招投标文件及其全部条款、双方签订的补充协议以及修改或变更的条款与本合同具有同等法律效力。</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十八、合同的生效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18.本合同经双方法定代表人（负责人）或授权代表签字并加盖单位公章后生效。</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十九、交接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19.甲方有权在不迟于本合同期届满或者根据本约定终止本合同前3个月通知乙方启动交接工作。</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二十、其他约定事项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20.1本合同中的附件均为本合同不可分割的部分，与本合同具有相同的法律效力。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20.2一方当事人未经另一方事先书面同意，不得将其在合同项下的权利或义务全部或部分转让给第三人，有关分包事项或服务委托等须遵守相关法律、法规。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20.3本合同正本一式肆份，甲、乙双方各执贰份，每份正本具有同等法律效力。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甲乙双方签字盖公章：</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甲方：北京千代福信息技术有限公司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地址：北京市东城区南竹杆胡同2号1幢11层31201</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电话：010-85208121</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开户银行及帐号：招商银行北京分行三里屯支行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法人或授权代表：（签名）</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_____年___月___日</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乙方：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电话：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开户银行及帐号：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法人或授权代表：（签名）</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_____年___月___日</w:t>
      </w:r>
    </w:p>
    <w:p>
      <w:pPr>
        <w:spacing w:line="360" w:lineRule="auto"/>
        <w:ind w:firstLine="480" w:firstLineChars="200"/>
        <w:rPr>
          <w:rFonts w:ascii="宋体" w:hAnsi="宋体" w:eastAsia="宋体"/>
          <w:sz w:val="24"/>
          <w:szCs w:val="24"/>
        </w:rPr>
      </w:pPr>
      <w:r>
        <w:rPr>
          <w:rFonts w:ascii="宋体" w:hAnsi="宋体" w:eastAsia="宋体"/>
          <w:sz w:val="24"/>
          <w:szCs w:val="24"/>
        </w:rPr>
        <w:br w:type="page"/>
      </w:r>
    </w:p>
    <w:p>
      <w:pPr>
        <w:jc w:val="center"/>
        <w:rPr>
          <w:rFonts w:ascii="宋体" w:hAnsi="宋体" w:eastAsia="宋体" w:cs="Andalus"/>
          <w:sz w:val="28"/>
          <w:szCs w:val="28"/>
        </w:rPr>
      </w:pPr>
      <w:r>
        <w:rPr>
          <w:rFonts w:ascii="宋体" w:hAnsi="宋体" w:eastAsia="宋体" w:cs="Andalus"/>
          <w:sz w:val="28"/>
          <w:szCs w:val="28"/>
        </w:rPr>
        <w:t>附件一：产品采购清单</w:t>
      </w:r>
    </w:p>
    <w:tbl>
      <w:tblPr>
        <w:tblStyle w:val="238"/>
        <w:tblW w:w="7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785"/>
        <w:gridCol w:w="990"/>
        <w:gridCol w:w="991"/>
        <w:gridCol w:w="99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服务名称</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单位</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数量</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产地</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云服务器</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台</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15</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2</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云数据库Cassandra</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节点</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3</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3</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Redis数据库服务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4</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文件存储（NAS）</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5</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云日志存储服务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6</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负载均衡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7</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公网IP服务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2</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8</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公网及网站静、动态内容全球加速服务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9</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NAT网关</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条</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10</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SSL VPN网关</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条</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2</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11</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专线网络接入服务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条</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2</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12</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云主机安全服务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台</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15</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13</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云防火墙服务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14</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云Web应用防火墙服务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15</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云DDoS攻击防护服务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16</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云堡垒机服务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17</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云数据库审计Cassandra</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18</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云数据加密服务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19</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云验证码服务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20</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SSL证书</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21</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云迁移咨询及实施服务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22</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云安全专家服务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1" w:type="dxa"/>
            <w:vAlign w:val="center"/>
          </w:tcPr>
          <w:p>
            <w:pPr>
              <w:jc w:val="center"/>
              <w:rPr>
                <w:rFonts w:ascii="宋体" w:hAnsi="宋体" w:eastAsia="宋体"/>
                <w:sz w:val="24"/>
                <w:szCs w:val="24"/>
              </w:rPr>
            </w:pPr>
            <w:r>
              <w:rPr>
                <w:rFonts w:hint="eastAsia" w:ascii="宋体" w:hAnsi="宋体" w:eastAsia="宋体"/>
                <w:sz w:val="24"/>
                <w:szCs w:val="24"/>
              </w:rPr>
              <w:t>23</w:t>
            </w:r>
          </w:p>
        </w:tc>
        <w:tc>
          <w:tcPr>
            <w:tcW w:w="2785" w:type="dxa"/>
            <w:vAlign w:val="center"/>
          </w:tcPr>
          <w:p>
            <w:pPr>
              <w:jc w:val="center"/>
              <w:rPr>
                <w:rFonts w:ascii="宋体" w:hAnsi="宋体" w:eastAsia="宋体"/>
                <w:sz w:val="24"/>
                <w:szCs w:val="24"/>
              </w:rPr>
            </w:pPr>
            <w:r>
              <w:rPr>
                <w:rFonts w:hint="eastAsia" w:ascii="宋体" w:hAnsi="宋体" w:eastAsia="宋体"/>
                <w:sz w:val="24"/>
                <w:szCs w:val="24"/>
              </w:rPr>
              <w:t>云平台支持和运维服务</w:t>
            </w:r>
          </w:p>
        </w:tc>
        <w:tc>
          <w:tcPr>
            <w:tcW w:w="990" w:type="dxa"/>
            <w:vAlign w:val="center"/>
          </w:tcPr>
          <w:p>
            <w:pPr>
              <w:jc w:val="center"/>
              <w:rPr>
                <w:rFonts w:ascii="宋体" w:hAnsi="宋体" w:eastAsia="宋体"/>
                <w:sz w:val="24"/>
                <w:szCs w:val="24"/>
              </w:rPr>
            </w:pPr>
            <w:r>
              <w:rPr>
                <w:rFonts w:hint="eastAsia" w:ascii="宋体" w:hAnsi="宋体" w:eastAsia="宋体"/>
                <w:sz w:val="24"/>
                <w:szCs w:val="24"/>
              </w:rPr>
              <w:t>套</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991" w:type="dxa"/>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7" w:type="dxa"/>
            <w:vAlign w:val="center"/>
          </w:tcPr>
          <w:p>
            <w:pPr>
              <w:jc w:val="center"/>
              <w:rPr>
                <w:rFonts w:ascii="宋体" w:hAnsi="宋体" w:eastAsia="宋体"/>
                <w:sz w:val="24"/>
                <w:szCs w:val="24"/>
              </w:rPr>
            </w:pPr>
            <w:r>
              <w:rPr>
                <w:rFonts w:hint="eastAsia" w:ascii="宋体" w:hAnsi="宋体" w:eastAsia="宋体"/>
                <w:sz w:val="24"/>
                <w:szCs w:val="24"/>
              </w:rPr>
              <w:t>2年</w:t>
            </w:r>
          </w:p>
        </w:tc>
      </w:tr>
    </w:tbl>
    <w:p>
      <w:pPr>
        <w:spacing w:line="360" w:lineRule="auto"/>
        <w:ind w:firstLine="480" w:firstLineChars="200"/>
        <w:rPr>
          <w:rFonts w:ascii="宋体" w:hAnsi="宋体" w:eastAsia="宋体"/>
          <w:sz w:val="24"/>
          <w:szCs w:val="24"/>
        </w:rPr>
      </w:pPr>
      <w:r>
        <w:rPr>
          <w:rFonts w:ascii="宋体" w:hAnsi="宋体" w:eastAsia="宋体"/>
          <w:sz w:val="24"/>
          <w:szCs w:val="24"/>
        </w:rPr>
        <w:br w:type="page"/>
      </w:r>
    </w:p>
    <w:p>
      <w:pPr>
        <w:pStyle w:val="2"/>
        <w:spacing w:before="0" w:after="0"/>
        <w:jc w:val="center"/>
        <w:rPr>
          <w:rFonts w:ascii="宋体" w:hAnsi="宋体" w:eastAsia="宋体"/>
          <w:sz w:val="32"/>
          <w:szCs w:val="32"/>
        </w:rPr>
      </w:pPr>
      <w:bookmarkStart w:id="59" w:name="_Toc127151779"/>
      <w:bookmarkStart w:id="60" w:name="_Toc127161490"/>
      <w:bookmarkStart w:id="61" w:name="_Toc226965858"/>
      <w:bookmarkStart w:id="62" w:name="_Toc353825550"/>
      <w:bookmarkStart w:id="63" w:name="_Toc353873940"/>
      <w:bookmarkStart w:id="64" w:name="_Toc43715859"/>
      <w:bookmarkStart w:id="65" w:name="_Toc80886815"/>
      <w:r>
        <w:rPr>
          <w:rFonts w:hint="eastAsia" w:ascii="宋体" w:hAnsi="宋体" w:eastAsia="宋体"/>
          <w:sz w:val="32"/>
          <w:szCs w:val="32"/>
        </w:rPr>
        <w:t xml:space="preserve">第四章 </w:t>
      </w:r>
      <w:bookmarkStart w:id="66" w:name="_Hlt164229061"/>
      <w:bookmarkEnd w:id="66"/>
      <w:bookmarkEnd w:id="59"/>
      <w:bookmarkEnd w:id="60"/>
      <w:bookmarkEnd w:id="61"/>
      <w:r>
        <w:rPr>
          <w:rFonts w:hint="eastAsia" w:ascii="宋体" w:hAnsi="宋体" w:eastAsia="宋体"/>
          <w:sz w:val="32"/>
          <w:szCs w:val="32"/>
        </w:rPr>
        <w:t>采购需求书</w:t>
      </w:r>
      <w:bookmarkEnd w:id="62"/>
      <w:bookmarkEnd w:id="63"/>
      <w:bookmarkEnd w:id="64"/>
      <w:bookmarkEnd w:id="65"/>
    </w:p>
    <w:p>
      <w:pPr>
        <w:pStyle w:val="3"/>
        <w:spacing w:before="0" w:after="0" w:line="360" w:lineRule="auto"/>
        <w:ind w:firstLine="482" w:firstLineChars="200"/>
        <w:jc w:val="left"/>
        <w:rPr>
          <w:rFonts w:ascii="宋体" w:hAnsi="宋体" w:eastAsia="宋体" w:cstheme="minorBidi"/>
          <w:sz w:val="24"/>
          <w:szCs w:val="24"/>
        </w:rPr>
      </w:pPr>
      <w:bookmarkStart w:id="67" w:name="_Toc80886816"/>
      <w:r>
        <w:rPr>
          <w:rFonts w:hint="eastAsia" w:ascii="宋体" w:hAnsi="宋体" w:eastAsia="宋体" w:cstheme="minorBidi"/>
          <w:sz w:val="24"/>
          <w:szCs w:val="24"/>
        </w:rPr>
        <w:t>一、项目概述</w:t>
      </w:r>
      <w:bookmarkEnd w:id="67"/>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68" w:name="_Toc80886817"/>
      <w:r>
        <w:rPr>
          <w:rFonts w:hint="eastAsia" w:ascii="宋体" w:hAnsi="宋体" w:eastAsia="宋体" w:cs="Times New Roman"/>
          <w:b/>
          <w:kern w:val="0"/>
          <w:sz w:val="24"/>
          <w:szCs w:val="20"/>
        </w:rPr>
        <w:t>1.1项目背景</w:t>
      </w:r>
      <w:bookmarkEnd w:id="68"/>
    </w:p>
    <w:p>
      <w:pPr>
        <w:spacing w:line="360" w:lineRule="auto"/>
        <w:ind w:firstLine="480" w:firstLineChars="200"/>
        <w:rPr>
          <w:rFonts w:ascii="宋体" w:hAnsi="宋体" w:eastAsia="宋体"/>
          <w:sz w:val="24"/>
          <w:szCs w:val="24"/>
        </w:rPr>
      </w:pPr>
      <w:r>
        <w:rPr>
          <w:rFonts w:hint="eastAsia" w:ascii="宋体" w:hAnsi="宋体" w:eastAsia="宋体"/>
          <w:sz w:val="24"/>
          <w:szCs w:val="24"/>
        </w:rPr>
        <w:t>QDF-V2016业务处理与综合服务平台是我公司的业务系统。该平台由互联网服务子系统（简称“互联网系统”）和专网业务处理系统（简称“业务处理系统”）两个子系统构成。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互联网系统承担着面向全球的互联网服务，主要包括信息发布等。业务处理系统承担着业务处理的职能，运行于企业广域专网。互联网子系统和业务处理系统业务上相衔接贯通，数据通过安全的方式实施互联互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互联网系统目前托管在第三方机房的私有化环境，因现有托管服务将于2021年12月19日到期，为保障互联网系统持续稳定、安全运行，须完成互联网系统公有云托管服务采购，并保证在业务不中断的前提下完成相关系统迁移工作以及互联网系统和业务处理系统安全的实时互联互通。</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69" w:name="_Toc80886818"/>
      <w:r>
        <w:rPr>
          <w:rFonts w:hint="eastAsia" w:ascii="宋体" w:hAnsi="宋体" w:eastAsia="宋体" w:cs="Times New Roman"/>
          <w:b/>
          <w:kern w:val="0"/>
          <w:sz w:val="24"/>
          <w:szCs w:val="20"/>
        </w:rPr>
        <w:t>1.2项目目标</w:t>
      </w:r>
      <w:bookmarkEnd w:id="69"/>
    </w:p>
    <w:p>
      <w:pPr>
        <w:spacing w:line="360" w:lineRule="auto"/>
        <w:ind w:firstLine="480" w:firstLineChars="200"/>
        <w:rPr>
          <w:rFonts w:ascii="宋体" w:hAnsi="宋体" w:eastAsia="宋体"/>
          <w:sz w:val="24"/>
          <w:szCs w:val="24"/>
        </w:rPr>
      </w:pPr>
      <w:r>
        <w:rPr>
          <w:rFonts w:hint="eastAsia" w:ascii="宋体" w:hAnsi="宋体" w:eastAsia="宋体"/>
          <w:sz w:val="24"/>
          <w:szCs w:val="24"/>
        </w:rPr>
        <w:t>鉴于近年来我国云计算技术快速发展，安全性、稳定性大为提升且具有快速弹性、低成本等特点，能够满足我系统业务发展需要。在系统现有互联网机房托管服务终止前，须完成相关信息系统的迁移、初步改造工程，并达成如下目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（1）业务连续性：互联网系统业务工作不间断开展，相关信息系统能够安全、稳定运行，为全球用户提供7*24小时互联网信息服务。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（2）系统对接：互联网系统平台于公有云环境搭建，此次采购的托管服务需与业务处理系统进行无缝衔接，做到资源合理复用。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（3）提升网络访问速度和用户体验：利用云厂商互联网全球加速服务，通过将访问请求动态调配</w:t>
      </w:r>
      <w:r>
        <w:rPr>
          <w:rFonts w:ascii="宋体" w:hAnsi="宋体" w:eastAsia="宋体"/>
          <w:sz w:val="24"/>
          <w:szCs w:val="24"/>
        </w:rPr>
        <w:t>接入部署于海外的网络节点，大幅提升</w:t>
      </w:r>
      <w:r>
        <w:rPr>
          <w:rFonts w:hint="eastAsia" w:ascii="宋体" w:hAnsi="宋体" w:eastAsia="宋体"/>
          <w:sz w:val="24"/>
          <w:szCs w:val="24"/>
        </w:rPr>
        <w:t>申请人访问我门户网站动、静态内容的访问速度，提升用户体验。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（4）安全合规：互联网系统迁移完成后，须完成备案并通过国家安全等级保护三级测评。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（5）改造升级：整体基于云计算技术进行升级改造，打下坚实基础。</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70" w:name="_Toc80886819"/>
      <w:r>
        <w:rPr>
          <w:rFonts w:hint="eastAsia" w:ascii="宋体" w:hAnsi="宋体" w:eastAsia="宋体" w:cs="Times New Roman"/>
          <w:b/>
          <w:kern w:val="0"/>
          <w:sz w:val="24"/>
          <w:szCs w:val="20"/>
        </w:rPr>
        <w:t>1.3项目内容</w:t>
      </w:r>
      <w:bookmarkEnd w:id="70"/>
    </w:p>
    <w:p>
      <w:pPr>
        <w:spacing w:line="360" w:lineRule="auto"/>
        <w:ind w:firstLine="480" w:firstLineChars="200"/>
        <w:rPr>
          <w:rFonts w:ascii="宋体" w:hAnsi="宋体" w:eastAsia="宋体"/>
          <w:sz w:val="24"/>
          <w:szCs w:val="24"/>
        </w:rPr>
      </w:pPr>
      <w:r>
        <w:rPr>
          <w:rFonts w:hint="eastAsia" w:ascii="宋体" w:hAnsi="宋体" w:eastAsia="宋体"/>
          <w:sz w:val="24"/>
          <w:szCs w:val="24"/>
        </w:rPr>
        <w:t>项目具体需要的技术与服务包括如下：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（1）云资源与第三方机房的互联链路，保证在公有云平台运行互联网系统与在第三方机房私有化部署内部业务处理子系统互联互通。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（2）利用云资源弹性扩展的优势，设计和部署整体支撑环境，承载千代福互联网系统。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（3）将现有互联网托管机房运行的相关系统通过成熟的技术和工程方法，完成应用从私有化环境向公有云服务的搬迁。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（4）保证系统云平台环境与原机房托管环境并轨运行一段时间后，原托管机房业务逐步退出，完全转为新环境运行。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（5）安全防护需求。针对系统业务特点，提供完整配套的网络防护、安全检测、漏洞扫描、抵御黑客攻击和安全管家等安全服务。</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71" w:name="_Toc80886820"/>
      <w:r>
        <w:rPr>
          <w:rFonts w:hint="eastAsia" w:ascii="宋体" w:hAnsi="宋体" w:eastAsia="宋体" w:cs="Times New Roman"/>
          <w:b/>
          <w:kern w:val="0"/>
          <w:sz w:val="24"/>
          <w:szCs w:val="20"/>
        </w:rPr>
        <w:t>1.4需求分析</w:t>
      </w:r>
      <w:bookmarkEnd w:id="71"/>
    </w:p>
    <w:p>
      <w:pPr>
        <w:spacing w:line="360" w:lineRule="auto"/>
        <w:ind w:firstLine="480" w:firstLineChars="200"/>
        <w:rPr>
          <w:rFonts w:ascii="宋体" w:hAnsi="宋体" w:eastAsia="宋体"/>
          <w:sz w:val="24"/>
          <w:szCs w:val="24"/>
        </w:rPr>
      </w:pPr>
      <w:r>
        <w:rPr>
          <w:rFonts w:hint="eastAsia" w:ascii="宋体" w:hAnsi="宋体" w:eastAsia="宋体"/>
          <w:sz w:val="24"/>
          <w:szCs w:val="24"/>
        </w:rPr>
        <w:t>采用云上的IaaS服务形式提供高可用、多种性能实例选择、可弹性伸缩的云主机服务；PaaS中的数据库及存储服务提供系统所需的数据库及存储的支撑；依托云厂商部署于全球的优质网络接入节点，</w:t>
      </w:r>
      <w:r>
        <w:rPr>
          <w:rFonts w:ascii="宋体" w:hAnsi="宋体" w:eastAsia="宋体"/>
          <w:sz w:val="24"/>
          <w:szCs w:val="24"/>
        </w:rPr>
        <w:t>实现</w:t>
      </w:r>
      <w:r>
        <w:rPr>
          <w:rFonts w:hint="eastAsia" w:ascii="宋体" w:hAnsi="宋体" w:eastAsia="宋体"/>
          <w:sz w:val="24"/>
          <w:szCs w:val="24"/>
        </w:rPr>
        <w:t>申请人互联网访问流量</w:t>
      </w:r>
      <w:r>
        <w:rPr>
          <w:rFonts w:ascii="宋体" w:hAnsi="宋体" w:eastAsia="宋体"/>
          <w:sz w:val="24"/>
          <w:szCs w:val="24"/>
        </w:rPr>
        <w:t>全球范围就近接入</w:t>
      </w:r>
      <w:r>
        <w:rPr>
          <w:rFonts w:hint="eastAsia" w:ascii="宋体" w:hAnsi="宋体" w:eastAsia="宋体"/>
          <w:sz w:val="24"/>
          <w:szCs w:val="24"/>
        </w:rPr>
        <w:t>网络加速节点</w:t>
      </w:r>
      <w:r>
        <w:rPr>
          <w:rFonts w:ascii="宋体" w:hAnsi="宋体" w:eastAsia="宋体"/>
          <w:sz w:val="24"/>
          <w:szCs w:val="24"/>
        </w:rPr>
        <w:t>，大幅减少网络延迟、丢包，提升传输效率</w:t>
      </w:r>
      <w:r>
        <w:rPr>
          <w:rFonts w:hint="eastAsia" w:ascii="宋体" w:hAnsi="宋体" w:eastAsia="宋体"/>
          <w:sz w:val="24"/>
          <w:szCs w:val="24"/>
        </w:rPr>
        <w:t>，提高互联网应用系统的访问体验</w:t>
      </w:r>
      <w:r>
        <w:rPr>
          <w:rFonts w:ascii="宋体" w:hAnsi="宋体" w:eastAsia="宋体"/>
          <w:sz w:val="24"/>
          <w:szCs w:val="24"/>
        </w:rPr>
        <w:t>；</w:t>
      </w:r>
      <w:r>
        <w:rPr>
          <w:rFonts w:hint="eastAsia" w:ascii="宋体" w:hAnsi="宋体" w:eastAsia="宋体"/>
          <w:sz w:val="24"/>
          <w:szCs w:val="24"/>
        </w:rPr>
        <w:t>搭建第三方机房与公有云的互联专线，建立安全实时传输机制；设计云上合理网络架构以安全运行相关应用系统；按切换时间要求完成应用系统上云迁移，进行必要的试运行；建设后续持续云上运行操作规范。</w:t>
      </w:r>
    </w:p>
    <w:p>
      <w:pPr>
        <w:widowControl/>
        <w:jc w:val="left"/>
        <w:rPr>
          <w:rFonts w:ascii="仿宋" w:hAnsi="仿宋" w:eastAsia="仿宋" w:cs="仿宋"/>
          <w:sz w:val="28"/>
          <w:szCs w:val="28"/>
        </w:rPr>
      </w:pPr>
      <w:r>
        <w:rPr>
          <w:rFonts w:ascii="仿宋" w:hAnsi="仿宋" w:eastAsia="仿宋" w:cs="仿宋"/>
          <w:sz w:val="28"/>
          <w:szCs w:val="28"/>
        </w:rPr>
        <w:br w:type="page"/>
      </w:r>
    </w:p>
    <w:p>
      <w:pPr>
        <w:pStyle w:val="3"/>
        <w:spacing w:before="0" w:after="0" w:line="360" w:lineRule="auto"/>
        <w:ind w:firstLine="482" w:firstLineChars="200"/>
        <w:jc w:val="left"/>
        <w:rPr>
          <w:rFonts w:ascii="宋体" w:hAnsi="宋体" w:eastAsia="宋体" w:cstheme="minorBidi"/>
          <w:sz w:val="24"/>
          <w:szCs w:val="24"/>
        </w:rPr>
      </w:pPr>
      <w:bookmarkStart w:id="72" w:name="_Toc80886821"/>
      <w:r>
        <w:rPr>
          <w:rFonts w:hint="eastAsia" w:ascii="宋体" w:hAnsi="宋体" w:eastAsia="宋体" w:cstheme="minorBidi"/>
          <w:sz w:val="24"/>
          <w:szCs w:val="24"/>
        </w:rPr>
        <w:t>二、技术要求</w:t>
      </w:r>
      <w:bookmarkEnd w:id="72"/>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73" w:name="_Toc80886822"/>
      <w:r>
        <w:rPr>
          <w:rFonts w:hint="eastAsia" w:ascii="宋体" w:hAnsi="宋体" w:eastAsia="宋体" w:cs="Times New Roman"/>
          <w:b/>
          <w:kern w:val="0"/>
          <w:sz w:val="24"/>
          <w:szCs w:val="20"/>
        </w:rPr>
        <w:t>2.1采购产品服务一览表</w:t>
      </w:r>
      <w:bookmarkEnd w:id="73"/>
    </w:p>
    <w:tbl>
      <w:tblPr>
        <w:tblStyle w:val="52"/>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719"/>
        <w:gridCol w:w="851"/>
        <w:gridCol w:w="850"/>
        <w:gridCol w:w="85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3719" w:type="dxa"/>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服务名称</w:t>
            </w:r>
          </w:p>
        </w:tc>
        <w:tc>
          <w:tcPr>
            <w:tcW w:w="851" w:type="dxa"/>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单位</w:t>
            </w:r>
          </w:p>
        </w:tc>
        <w:tc>
          <w:tcPr>
            <w:tcW w:w="850" w:type="dxa"/>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数量</w:t>
            </w:r>
          </w:p>
        </w:tc>
        <w:tc>
          <w:tcPr>
            <w:tcW w:w="851" w:type="dxa"/>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产地</w:t>
            </w:r>
          </w:p>
        </w:tc>
        <w:tc>
          <w:tcPr>
            <w:tcW w:w="1275" w:type="dxa"/>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云主机服务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台</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15</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云数据库Cassandra</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节点</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3</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3</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Redis数据库服务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4</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文件存储（NAS）</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5</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云日志存储服务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6</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云负载均衡服务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7</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公网IP服务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8</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互联网加速服务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9</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NAT网关</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条</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10</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SSL VPN网关</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条</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11</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专线网络接入服务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条</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12</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云主机安全服务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台</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15</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13</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云防火墙服务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14</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云Web应用防火墙服务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15</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云DDoS攻击防护服务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16</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云堡垒机服务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17</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云数据库审计Cassandra</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18</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云数据加密服务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19</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云验证码服务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20</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SSL证书</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21</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云迁移咨询及实施服务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22</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云安全专家服务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76"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23</w:t>
            </w:r>
          </w:p>
        </w:tc>
        <w:tc>
          <w:tcPr>
            <w:tcW w:w="3719"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云平台支持和运维服务</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套</w:t>
            </w:r>
          </w:p>
        </w:tc>
        <w:tc>
          <w:tcPr>
            <w:tcW w:w="850"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1</w:t>
            </w:r>
          </w:p>
        </w:tc>
        <w:tc>
          <w:tcPr>
            <w:tcW w:w="851"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国产</w:t>
            </w:r>
          </w:p>
        </w:tc>
        <w:tc>
          <w:tcPr>
            <w:tcW w:w="1275" w:type="dxa"/>
            <w:shd w:val="clear" w:color="auto" w:fill="auto"/>
            <w:vAlign w:val="center"/>
          </w:tcPr>
          <w:p>
            <w:pPr>
              <w:jc w:val="center"/>
              <w:rPr>
                <w:rFonts w:ascii="宋体" w:hAnsi="宋体" w:eastAsia="宋体"/>
                <w:sz w:val="24"/>
                <w:szCs w:val="24"/>
              </w:rPr>
            </w:pPr>
            <w:r>
              <w:rPr>
                <w:rFonts w:hint="eastAsia" w:ascii="宋体" w:hAnsi="宋体" w:eastAsia="宋体"/>
                <w:sz w:val="24"/>
                <w:szCs w:val="24"/>
              </w:rPr>
              <w:t>2年</w:t>
            </w:r>
          </w:p>
        </w:tc>
      </w:tr>
    </w:tbl>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74" w:name="_Toc80886823"/>
      <w:r>
        <w:rPr>
          <w:rFonts w:hint="eastAsia" w:ascii="宋体" w:hAnsi="宋体" w:eastAsia="宋体" w:cs="Times New Roman"/>
          <w:b/>
          <w:kern w:val="0"/>
          <w:sz w:val="24"/>
          <w:szCs w:val="20"/>
        </w:rPr>
        <w:t>2.2产品详细指标要求</w:t>
      </w:r>
      <w:bookmarkEnd w:id="74"/>
    </w:p>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（1）指标按重要性分为“★”、“▲”、“#”。“★”代表实质性指标，不满足该指标项将导致投标被拒绝，“▲”代表关键指标，“#”代表一般指标。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（2）有效证明材料要求：投标人须提供包含相关指标项的证明材料，证明材料包括但不限于相关资质证书、生产厂家官方网站截图、产品白皮书、第三方机构检验报告、原厂对系统功能的承诺函、原厂商</w:t>
      </w:r>
      <w:r>
        <w:rPr>
          <w:rFonts w:ascii="宋体" w:hAnsi="宋体" w:eastAsia="宋体"/>
          <w:sz w:val="24"/>
          <w:szCs w:val="24"/>
        </w:rPr>
        <w:t>授权函或</w:t>
      </w:r>
      <w:r>
        <w:rPr>
          <w:rFonts w:hint="eastAsia" w:ascii="宋体" w:hAnsi="宋体" w:eastAsia="宋体"/>
          <w:sz w:val="24"/>
          <w:szCs w:val="24"/>
        </w:rPr>
        <w:t>其他相关证明材料，并加盖投标人公章，未提供有效证明材料或证明材料中内容与所填报指标不一致的，该指标按不满足处理。</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2.2.1技术资质要求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★（1）投标人须具备有效期内的《增值电信业务经营许可证》（提供有效证明材料）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bookmarkStart w:id="75" w:name="OLE_LINK1"/>
      <w:bookmarkStart w:id="76" w:name="OLE_LINK2"/>
      <w:r>
        <w:rPr>
          <w:rFonts w:hint="eastAsia" w:ascii="宋体" w:hAnsi="宋体" w:eastAsia="宋体"/>
          <w:sz w:val="24"/>
          <w:szCs w:val="24"/>
        </w:rPr>
        <w:t>投标人提供</w:t>
      </w:r>
      <w:bookmarkEnd w:id="75"/>
      <w:bookmarkEnd w:id="76"/>
      <w:r>
        <w:rPr>
          <w:rFonts w:hint="eastAsia" w:ascii="宋体" w:hAnsi="宋体" w:eastAsia="宋体"/>
          <w:sz w:val="24"/>
          <w:szCs w:val="24"/>
        </w:rPr>
        <w:t>的云平台必须为中华人民共和国国家互联网信息办公室网站公示的通过云计算服务安全评估的云平台（提供有效证明材料）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★（3）投标人提供的云平台通过信息系统安全等级保护三级备案（提供有效证明材料）</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2.2.2云主机服务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★（1）本项目提供的云主机规格为（提供有效证明材料）：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①4台CPU≥16核，内存≥32G,系统盘≥100GB SSD,数据盘≥200GB SSD，含兼容RedHat7操作系统；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②2台CPU≥16核，内存≥32G,系统盘≥150GB SSD,数据盘≥300GB SSD，含正版Windows server 2008R2（64位）操作系统；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③1台CPU≥4核，内存≥8G,系统盘≥150GB SSD,数据盘≥300GB SSD，含正版Windows server 2012R2（64位）操作系统；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④4台CPU≥8核，内存≥16G,系统盘≥150GB SSD,数据盘≥300GB SSD，含正版Windows server 2008R2（64位）操作系统；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⑤2台CPU≥8核，内存≥16G,系统盘≥100GB SSD,数据盘≥200GB SSD，云厂商提供长期支持的正版操作系统，兼容RedHat7.X操作系统；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⑥2台CPU≥8核，内存≥32G,系统盘≥100GB SSD,数据盘≥200GB SSD，云厂商提供长期支持的正版操作系统，兼容RedHat7.X操作系统；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云厂商应按以上规格要求提供云虚拟服务器资源，上述规格为云主机最低配置要求，需支持未来性能可平滑扩展。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▲（2）服务能力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①单台云主机系统盘最高可支持1024GB，最高可挂载16块弹性硬盘作为数据盘、单盘最高可达16TB；（提供有效证明材料）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②单台云主机最高可挂8个弹性网卡、单卡最高可绑定IP数30个；</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③单台网络优化云主机最高包转发率（PPS）达到600W；</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④单台主机内网带宽最高支持25Gbps；</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⑤单台云主机创建时间小于10s，1000台云主机创建时间小于60s。</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▲（3）操作系统（提供有效证明材料）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云主机提供主流的Windows、Linux等操作系统，均具备正版授权，授权费用需包含在本次投标报价中；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▲（4）快照（提供有效证明材料）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支持实例快照，可灵活配置快照时间和保存期限；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▲（5）云主机备份（提供有效证明材料）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支持全量备份和增量备份；支持针对任意快照时间点进行回滚；单云盘可保留≥4个快照，备份周期≥1个月；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#（6）监控（提供有效证明材料）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①能实现主机性能监控，包括但不限于内存利用率、内外网带宽、磁盘读写IOPS和通过宿主机采集上报的CPU使用率等；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②可实现对实例执行定期检查，监控实例的健康状态，提供监控数据收集、可视化以及实时监控告警等服务；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#（7）数据可靠性（提供有效证明材料）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云盘应采用三副本机制，对应数据存储的可靠性达99.9999999%；</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▲（8）宕机重启恢复（提供有效证明材料）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在发生物理机非预期宕机或进行主动运维时，应支持自动重启恢复；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#（9）网络访问控制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支持云主机的安全域划分，可通过安全组规则配置，达到控制云主机网络访问出入流量的目的；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#（10）自定义镜像（提供有效证明材料）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①可指定用户预先配置好的镜像文件作为模板进行云主机的创建，支持自定义镜像跨地域复制；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②可导入RAW、VHD、QCOW2格式镜像，并且基于导入镜像创建云主机；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③支持镜像跨地域复制、支持跨账号共享镜像；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④支持在线、离线主机服务迁移；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#（11）管理功能（提供有效证明材料）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①支持使用密钥登录和密码登录；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②支持通过Workbench、VNC登录、远程桌面登录以及远程登录软件登录；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③支持计算能力的弹性伸缩，可根据定时、周期或监控策略，增加或减少云服务器实例；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④支持通过API或CLI管控控制云服务器；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#（12）加密（提供有效证明材料）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盘支持加密存储，提供针对数据盘的数据加密功能，由加密数据盘创建的快照继承加密属性；加密通过云服务供应商提供的密钥管理服务来实现，客户无需构建和维护自己的密钥系统，即可实现简单高效的数据盘加解密功能；支持国密算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#（13）数据可销毁性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云厂商在客户要求删除数据或设备被弃置、转售前必须将其所有数据彻底删除，确保这些数据无法被复原，需提供最高级别的数据销毁，应包括但不限于数据覆写、硬盘消磁、硬盘分解等常见销毁手段；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#（14）数据可迁移性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云厂商应保证用户启用或弃用相关云服务时，用户能够自主控制数据的迁入和迁出；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#（15）数据私密性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云厂商应支持用户通过各种加密或隔离手段保证使用同一物理资源池的用户数据互不可见。不同用户的云主机至少要通过网络隔离的方式，保证同一云数据中心的用户数据互不可见，互不可访问；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#（16）数据知情权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按用户要求提供数据存储、备份的物理位置，并及时通知用户直接或间接使用了用户数据的事件以及实体信息。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云主机服务采用全冗余架构，无单点故障，平均可用性≥99.95%；</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#（18）灵活性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支持无需关机调整实例配置；</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2.2.3云数据库Cassandra</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提供Cassandra数据库PaaS服务方案，需与原生Apache Cassandra 3.11.X社区版100%兼容，需提供≥3个节点的数据库实例，每节点最低规格配置为20C*64G*560G（SSD盘）；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或提供裸金属数据库支持方案，所提供的方案需包含裸金属</w:t>
      </w:r>
      <w:r>
        <w:rPr>
          <w:rFonts w:ascii="宋体" w:hAnsi="宋体" w:eastAsia="宋体"/>
          <w:sz w:val="24"/>
          <w:szCs w:val="24"/>
        </w:rPr>
        <w:t>服务器</w:t>
      </w:r>
      <w:r>
        <w:rPr>
          <w:rFonts w:hint="eastAsia" w:ascii="宋体" w:hAnsi="宋体" w:eastAsia="宋体"/>
          <w:sz w:val="24"/>
          <w:szCs w:val="24"/>
        </w:rPr>
        <w:t>4台（3台实例加1台冷备资源），每台最低配置规格为</w:t>
      </w:r>
      <w:r>
        <w:rPr>
          <w:rFonts w:ascii="宋体" w:hAnsi="宋体" w:eastAsia="宋体"/>
          <w:sz w:val="24"/>
          <w:szCs w:val="24"/>
        </w:rPr>
        <w:t>：</w:t>
      </w:r>
      <w:r>
        <w:rPr>
          <w:rFonts w:hint="eastAsia" w:ascii="宋体" w:hAnsi="宋体" w:eastAsia="宋体"/>
          <w:sz w:val="24"/>
          <w:szCs w:val="24"/>
        </w:rPr>
        <w:t>CPU20C、内存64G、系统盘2块SSD，每块≥600G、数据盘两块SSD，每块≥900G、</w:t>
      </w:r>
      <w:r>
        <w:rPr>
          <w:rFonts w:ascii="宋体" w:hAnsi="宋体" w:eastAsia="宋体"/>
          <w:sz w:val="24"/>
          <w:szCs w:val="24"/>
        </w:rPr>
        <w:t>网络带宽</w:t>
      </w:r>
      <w:r>
        <w:rPr>
          <w:rFonts w:hint="eastAsia" w:ascii="宋体" w:hAnsi="宋体" w:eastAsia="宋体"/>
          <w:sz w:val="24"/>
          <w:szCs w:val="24"/>
        </w:rPr>
        <w:t>≥10Gbps,</w:t>
      </w:r>
      <w:r>
        <w:rPr>
          <w:rFonts w:ascii="宋体" w:hAnsi="宋体" w:eastAsia="宋体"/>
          <w:sz w:val="24"/>
          <w:szCs w:val="24"/>
        </w:rPr>
        <w:t>CPU不低于Intel 志强金牌6148 处理器，操作系统兼容</w:t>
      </w:r>
      <w:r>
        <w:rPr>
          <w:rFonts w:hint="eastAsia" w:ascii="宋体" w:hAnsi="宋体" w:eastAsia="宋体"/>
          <w:sz w:val="24"/>
          <w:szCs w:val="24"/>
        </w:rPr>
        <w:t>Redhat7.X，并安装Apache Cassandra 3.11.X社区版及lucense索引；资源支持平滑扩展；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▲（2）弹性扩容（提供有效证明材料）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支持分钟</w:t>
      </w:r>
      <w:r>
        <w:rPr>
          <w:rFonts w:ascii="宋体" w:hAnsi="宋体" w:eastAsia="宋体"/>
          <w:sz w:val="24"/>
          <w:szCs w:val="24"/>
        </w:rPr>
        <w:t>级的水平</w:t>
      </w:r>
      <w:r>
        <w:rPr>
          <w:rFonts w:hint="eastAsia" w:ascii="宋体" w:hAnsi="宋体" w:eastAsia="宋体"/>
          <w:sz w:val="24"/>
          <w:szCs w:val="24"/>
        </w:rPr>
        <w:t>弹性扩容、升降配；单集群最大节点数≥50个节点；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▲（3）数据备份（提供有效证明材料）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①支持通过灵活的备份策略生成多个备份副本数据，支持全量&amp;增量联机备份恢复；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②支持线上恢复30天以内的数据，支持将数据导出或同步至其他可用区或线下数据中心实例；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#（4）安全加固能力（提供有效证明材料）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支持链路加密SSL/TLS；设置安全IP白名单，接入IP限制；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#（5）数据迁移（提供有效证明材料）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支持全量数据加增量数据的业务不停服的前提下完成数据库迁移工作；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#（6）监控（提供有效证明材料）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支持资源和异常问题监控配置及短信告警。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▲（7）数据库专家服务（提供有效证明材料）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提供Cassandra数据库专家技术支持服务。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2.2.4Redis数据库服务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提供Redis数据库服务需兼容社区Redis4.x/5.x版本，支持主从架构，内存8G；</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▲（2）弹性扩容（提供有效证明材料）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支持分钟级弹性扩展，支持跨版本升级，支持无需停止业务的变配及升级；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#（3）灵活性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支持控制台一键迁移，灵活资源调配；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2.2.5文件存储（NAS）</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支持NFSv3.0/v4.0，SMB2.1/3.0协议的共享文件挂载到云主机服务；文件存储容量≥5TB</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▲（2）权限控制及访问隔离（提供有效证明材料）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支持按照客户端进行读写权限控制和访问隔离；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▲（3）数据加密（提供有效证明材料）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支持文件系统数据存储加密和传输加密；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#（4）数据备份（提供有效证明材料）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支持通过灵活的备份策略生成多个备份副本数据，在发生数据损坏时进行恢复；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#（5）服务能力（提供有效证明材料）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支持存储容量在线弹性扩展，无需中断业务。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2.2.6云日志存储服务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提供SaaS化的日志查询、统计、采集及存储服务，支持Log/Metric/Trace统一采集，支持云主机、负载均衡及应用的日志数据接入；存储容量≥1T；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▲（2）查询分析（提供有效证明材料）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支持关键词、SQL92等多种方式查询，支持面向文本加结构化数据实时查询分析，可提供异常巡检与智能分析服务；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2.2.7云负载均衡服务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SaaS化负载均衡服务，单集群负载均衡最大连接数≥100000，每秒新建连接数≥10000，每秒查询数≥10000；支持≥5个后端应用集群，支持按路径或端口号转发，可根据业务负载横向伸缩，弹性扩展应用系统对外的服务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▲（2）支持协议（提供有效证明材料）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支持TCP、UDP、HTTP、HTTPS等协议；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#（3）会话保持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支持会话保持功能，在会话的生命周期内，可以将同一客户端的请求转发到同一台后端服务器上。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#（4）健康检查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可按照指定规则对配置的云服务器进行健康检查，自动隔离异常状态云服务器。支持流量监控&amp;告警。</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（5）七层能力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①支持七层个性化配置。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②支持七层重定向功能（rewrite）。</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③支持七层日志存储。</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IPv6支持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①支持IPv6负载均衡实例。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②支持IPv6 NAT64负载均衡实例。</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在线升级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支持在线平滑升级，承载能力和网络总带宽同步线性扩容。</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绑定能力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支持绑定公网IP。</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▲（9）安全防护（提供有效证明材料）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支持端到端https加密，支持https卸载；</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（10）流量健康和告警</w:t>
      </w:r>
    </w:p>
    <w:p>
      <w:pPr>
        <w:spacing w:line="360" w:lineRule="auto"/>
        <w:ind w:firstLine="480" w:firstLineChars="200"/>
        <w:rPr>
          <w:rFonts w:ascii="宋体" w:hAnsi="宋体" w:eastAsia="宋体"/>
          <w:sz w:val="24"/>
          <w:szCs w:val="24"/>
        </w:rPr>
      </w:pPr>
      <w:r>
        <w:rPr>
          <w:rFonts w:ascii="宋体" w:hAnsi="宋体" w:eastAsia="宋体"/>
          <w:sz w:val="24"/>
          <w:szCs w:val="24"/>
        </w:rPr>
        <w:t>支持流量监控和告警</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（11）同城容灾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支持跨多可用区容灾部署。</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（12）调度策略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支持根据不同的域名和URL进行流量调度，提升应用系统灵活性。</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w:t>
      </w:r>
      <w:r>
        <w:rPr>
          <w:rFonts w:hint="eastAsia" w:ascii="宋体" w:hAnsi="宋体" w:eastAsia="宋体"/>
          <w:sz w:val="24"/>
          <w:szCs w:val="24"/>
        </w:rPr>
        <w:t>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采用全冗余架构，无单点故障，支持7*24*365使用，SLA可用性≥99.95%。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2.2.8公网IP服务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云厂商提供至少2个互联网访问IP，每个IP带宽≥30Mbps；</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▲（2）灵活性（提供有效证明材料）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提供访问公网和公网访问能力；可与云资源的生命周期解耦合，单独进行操作；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▲（3）扩展性（提供有效证明材料）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带宽支持分钟级升降配及扩容，最大带宽可支持≥500Mbps</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#（4）可用性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支持7*24*365使用，SLA可用性≥99.95%（提供有效证明材料）</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2.2.9互联网加速服务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提供云原生的、全球访问的、≥30Mbps带宽的互联网加速服务，需包括全球加速能力和相关网络接入需要的软硬件、线路；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▲（2）基本要求（提供软著或知识产权证明）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云厂商提供的互联网加速网络服务为投标方自有产品；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▲（3）基础功能（提供有效证明材料）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①支持网络服务在全球范围就近接入服务商部署的加速节点，提升用户访问网络速度，降低网络访问响应时间；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②网络加速的源站可以关联不同的后端云实例及用户自定义的源站地址；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③能够联动内容分发网络（CDN）实现回源加速；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▲（4）网络节点覆盖（提供有效证明材料）</w:t>
      </w:r>
    </w:p>
    <w:p>
      <w:pPr>
        <w:spacing w:line="360" w:lineRule="auto"/>
        <w:ind w:firstLine="480" w:firstLineChars="200"/>
        <w:rPr>
          <w:rFonts w:ascii="宋体" w:hAnsi="宋体" w:eastAsia="宋体"/>
          <w:sz w:val="24"/>
          <w:szCs w:val="24"/>
        </w:rPr>
      </w:pPr>
      <w:r>
        <w:rPr>
          <w:rFonts w:ascii="宋体" w:hAnsi="宋体" w:eastAsia="宋体"/>
          <w:sz w:val="24"/>
          <w:szCs w:val="24"/>
        </w:rPr>
        <w:t>云厂商能够提供动态加速服务的区域应包括北美、欧洲</w:t>
      </w:r>
      <w:r>
        <w:rPr>
          <w:rFonts w:hint="eastAsia" w:ascii="宋体" w:hAnsi="宋体" w:eastAsia="宋体"/>
          <w:sz w:val="24"/>
          <w:szCs w:val="24"/>
        </w:rPr>
        <w:t>、</w:t>
      </w:r>
      <w:r>
        <w:rPr>
          <w:rFonts w:ascii="宋体" w:hAnsi="宋体" w:eastAsia="宋体"/>
          <w:sz w:val="24"/>
          <w:szCs w:val="24"/>
        </w:rPr>
        <w:t>亚洲等区域</w:t>
      </w:r>
      <w:r>
        <w:rPr>
          <w:rFonts w:hint="eastAsia" w:ascii="宋体" w:hAnsi="宋体" w:eastAsia="宋体"/>
          <w:sz w:val="24"/>
          <w:szCs w:val="24"/>
        </w:rPr>
        <w:t>；</w:t>
      </w:r>
      <w:r>
        <w:rPr>
          <w:rFonts w:ascii="宋体" w:hAnsi="宋体" w:eastAsia="宋体"/>
          <w:sz w:val="24"/>
          <w:szCs w:val="24"/>
        </w:rPr>
        <w:t>云厂商</w:t>
      </w:r>
      <w:r>
        <w:rPr>
          <w:rFonts w:hint="eastAsia" w:ascii="宋体" w:hAnsi="宋体" w:eastAsia="宋体"/>
          <w:sz w:val="24"/>
          <w:szCs w:val="24"/>
        </w:rPr>
        <w:t>部署于全球的网络</w:t>
      </w:r>
      <w:r>
        <w:rPr>
          <w:rFonts w:ascii="宋体" w:hAnsi="宋体" w:eastAsia="宋体"/>
          <w:sz w:val="24"/>
          <w:szCs w:val="24"/>
        </w:rPr>
        <w:t>节点应覆盖全球六大洲，全球拥有</w:t>
      </w:r>
      <w:r>
        <w:rPr>
          <w:rFonts w:hint="eastAsia" w:ascii="宋体" w:hAnsi="宋体" w:eastAsia="宋体"/>
          <w:sz w:val="24"/>
          <w:szCs w:val="24"/>
        </w:rPr>
        <w:t>≥2000+节点；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▲（5）网络质量（提供有效证明材料）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任意海外节点到云平台主机端的响应延迟≤300ms；</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#（6）协议支持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支持HTTP2.0、HTTPS协议加速；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#（7）网络安全（提供有效证明材料）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网络加速服务自带抗DDoS能力，同时也能集成DDoS和WAF等云原生安全能力，保护互联网服务免受攻击，加固对终端节点的安全访问；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#（9）扩展性（提供有效证明材料）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加速带宽支持分钟级升降配及扩容，最大带宽可支持≥500Mbps；</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2.2.10NAT网关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提供SaaS化NAT网关服务，</w:t>
      </w:r>
      <w:r>
        <w:rPr>
          <w:rFonts w:ascii="宋体" w:hAnsi="宋体" w:eastAsia="宋体"/>
          <w:sz w:val="24"/>
          <w:szCs w:val="24"/>
        </w:rPr>
        <w:t>为部署于云内专有网络中无公网IP的云主机实例提供访问公网的代理服务</w:t>
      </w:r>
      <w:r>
        <w:rPr>
          <w:rFonts w:hint="eastAsia" w:ascii="宋体" w:hAnsi="宋体" w:eastAsia="宋体"/>
          <w:sz w:val="24"/>
          <w:szCs w:val="24"/>
        </w:rPr>
        <w:t>；支持SNAT和DNAT功能，</w:t>
      </w:r>
      <w:r>
        <w:rPr>
          <w:rFonts w:ascii="宋体" w:hAnsi="宋体" w:eastAsia="宋体"/>
          <w:sz w:val="24"/>
          <w:szCs w:val="24"/>
        </w:rPr>
        <w:t>支持多个主机共享公网IP</w:t>
      </w:r>
      <w:r>
        <w:rPr>
          <w:rFonts w:hint="eastAsia" w:ascii="宋体" w:hAnsi="宋体" w:eastAsia="宋体"/>
          <w:sz w:val="24"/>
          <w:szCs w:val="24"/>
        </w:rPr>
        <w:t>；最大连接数≥</w:t>
      </w:r>
      <w:r>
        <w:rPr>
          <w:rFonts w:ascii="宋体" w:hAnsi="宋体" w:eastAsia="宋体"/>
          <w:sz w:val="24"/>
          <w:szCs w:val="24"/>
        </w:rPr>
        <w:t>50,000；最大新建连接数</w:t>
      </w:r>
      <w:r>
        <w:rPr>
          <w:rFonts w:hint="eastAsia" w:ascii="宋体" w:hAnsi="宋体" w:eastAsia="宋体"/>
          <w:sz w:val="24"/>
          <w:szCs w:val="24"/>
        </w:rPr>
        <w:t>≥</w:t>
      </w:r>
      <w:r>
        <w:rPr>
          <w:rFonts w:ascii="宋体" w:hAnsi="宋体" w:eastAsia="宋体"/>
          <w:sz w:val="24"/>
          <w:szCs w:val="24"/>
        </w:rPr>
        <w:t>5,000。</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基础功能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支持同一个云区域内创建多个NAT网关；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2.2.11 SSL VPN网关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提供SaaS化部署的SSL VPN网关服务；带宽规格≥5Mbps，SSL连接数≥5；</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▲（2）基础功能（提供有效证明材料）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支持使用IKE和IPsec协议对传输数据进行加密，保证数据安全可靠；支持基于OpenVPN架构，Internet终端通过SSL-VPN拨号安全接入VPC；支持SSL VPN及国密算法；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#（3）基础功能（提供有效证明材料）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采用双机热备架构，故障时秒级切换，保证会话不中断，业务无感知；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2.2.12专线网络接入服务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在云服务区域和业务系统机房之间提供2条总带宽≥</w:t>
      </w:r>
      <w:r>
        <w:rPr>
          <w:rFonts w:ascii="宋体" w:hAnsi="宋体" w:eastAsia="宋体"/>
          <w:sz w:val="24"/>
          <w:szCs w:val="24"/>
        </w:rPr>
        <w:t>20Mbps</w:t>
      </w:r>
      <w:r>
        <w:rPr>
          <w:rFonts w:hint="eastAsia" w:ascii="宋体" w:hAnsi="宋体" w:eastAsia="宋体"/>
          <w:sz w:val="24"/>
          <w:szCs w:val="24"/>
        </w:rPr>
        <w:t>的网络接入服务；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2.2.13云主机安全服务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提供SaaS化部署的云主机安全服务，包括云虚拟资源及数据库实例资源的木马文件检测、密码破解检测、登录行为审计、漏洞检测等主机安全防护功能；无需改变客户网络结构，即开即用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▲（2）漏洞检测修复（提供有效证明材料）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提供常见的黑客攻击程序检测，包括但不限于DDos木马、远控、挖矿类软件；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▲（3）病毒云查杀（提供有效证明材料）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提供常用的Web网站类脚本木马后门检测，包含ASP/PHP/JSP/Python等脚本语言；提供对二进制可执行类的病毒木马检测，包括 exe、dll、bin 等类型文件，并告警用户；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#（4）基本功能（提供有效证明材料）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①可对暴力破解行为进行告警，包括SSH、RDP等，提供爆破阻断功能。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②可实时对非白名单的IP地址登录进行告警，识别出恶意登录行为，支持白名单配置。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③针对本地提权行为实时告警，并支持白名单配置。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④针对反弹shell行为实时告警，并支持白名单配置。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⑤记录主机上执行的bash命令，实时监控被审计规则判断为危险的操作。提供默认规则配置，以及支持用户自定义规则配置。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⑥对系统级漏洞和常用组件类型的漏洞进行检测，提供修复方案，例如：Apache、Nginx、Structs、Redis等常用组件。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⑦提供常用Web类型的漏洞检测，提供修复方案，例如：phpMyAdmin、WordPress等Web类组件。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⑧漏洞预警情报服务，在爆发1day漏洞时，可及时推送检测规则。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⑨支持等保二级、三级、CIS、弱口令等基线检测，并提供修复方案。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⑩实时监控网络攻击行为，支持检测威胁类型：Webshell探测、Struts漏洞利用、代码注入攻击、命令注入攻击、机器批量控制利用等。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▲（5）管理功能（提供有效证明材料）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①支持全量日志分析包括网络、主机、云产品等；支持用户统一查询、导出安全事件日志信息；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②支持一键补丁修复功能；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③支持进行大版本、查杀引擎、病毒库、漏洞库的升级和更新，功能增强和完善优化；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#（6）自动化攻击溯源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支持自动化定位攻击源、攻击链、入侵原因，并以可视化的形式展示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#（7）性能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主机安全代理资源消耗低，不影响系统正常运行，CPU＜5%，内存＜30M。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#（8）稳定性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系统应有高可靠性、稳定性设计。在出现异常情况时，可进行降级、自杀等机制，确保业务的正常运行。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▲（9）兼容性（提供有效证明材料）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兼容Windows 、CentOS、Debian、RedHat等主流操作系统。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2.2.14云防火墙服务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提供云原生的SaaS化防火墙服务，无需客户部署镜像资源，内置高可靠，性能可平滑扩展；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▲（2）互联网边界防御（提供有效证明材料）</w:t>
      </w:r>
    </w:p>
    <w:p>
      <w:pPr>
        <w:spacing w:line="360" w:lineRule="auto"/>
        <w:ind w:firstLine="480" w:firstLineChars="200"/>
        <w:rPr>
          <w:rFonts w:ascii="宋体" w:hAnsi="宋体" w:eastAsia="宋体"/>
          <w:sz w:val="24"/>
          <w:szCs w:val="24"/>
        </w:rPr>
      </w:pPr>
      <w:r>
        <w:rPr>
          <w:rFonts w:ascii="宋体" w:hAnsi="宋体" w:eastAsia="宋体"/>
          <w:sz w:val="24"/>
          <w:szCs w:val="24"/>
        </w:rPr>
        <w:t>支持互联网边界、VPC边界、主机边界流量管控与安全防护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▲（3）访问控制（提供有效证明材料）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支持互联网到业务和业务与业务之间流量的网络入侵行为和网络攻击行为检测能力；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▲（4）云资源隔离防御（提供有效证明材料）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支持基于虚拟机颗粒度的微隔离策略（安全组）统一管理，支持安全组高危策略检查，支持安全组配置关系与流量的可视化展示；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#（5）入侵拦截</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集成IPS和虚拟补丁能力，可以对来自互联网的攻击进行实时拦截；</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#（6）防火墙开关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互联网暴露面一键检测，一键开启云防火墙防护；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#（7）互联网开放端口自动发现（提供有效证明材料）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支持一键梳理云平台的互联网暴露面梳理，并可联动漏洞扫描能力，判断暴露端口和同步漏洞，并进行漏洞防护闭环；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#（8）告警中心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支持外部入侵和主机失陷的告警，对被防火墙阻断的流量进行统计分析；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#（9）流量中心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支持外部访问和主机外联流量进行统计分析；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#（10）地域位置的策略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支持基于地理位置的访问控制，可设置一键拦截海外IP的策略；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#（11）域名的策略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支持基于云主机主动外联的访问控制，支持基于域名的访问控制；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#（12）策略命中数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支持策略的命中数统计，方便管理员进行日常分析管理冗余策略；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#（13）防护模式（提供有效证明材料）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入侵防御可支持观察模式和拦截模式，拦截模式支持分级拦截，包括宽松、严格、中等模式；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#（14）威胁情报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集成云平台的威胁情报，对于恶意源IP、危险域名的访问流量，进行精准识别；</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#（15）虚拟补丁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针对热门漏洞、常见漏洞、高危漏洞的热补丁防护功能，无需在业务系统中安装真实补丁；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#（16）访问控制日志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支持对全部命中防火墙访问控制策略的流量进行记录；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#（17）入侵防御日志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支持对全部命中入侵防御策略的流量进行记录，并记录入侵的payload供后续分析取证；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#（18）流量日志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支持对全部经过防火墙的流量进行记录；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#（19）操作日志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支持对防火墙的操作记录日志；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2.2.15云Web应用防火墙服务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提供SaaS化Web应用防火墙服务，至少支持1个一级域名、10个二级域名、带宽≥30Mbps；性能可平滑扩展；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▲（2）部署模式（提供有效证明材料）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无需本地部署，支持全球多节点集群容灾部署；</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▲（3）协议支持（提供有效证明材料）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支持协议类型包括HTTP、HTTPS、WEBSOCKET、WEBSOCKETS，支持泛域名、支持非标端口；</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#（4）防护延迟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防护节点要求采用≥30线的BGP IP链路接入；</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智能检测引擎（提供有效证明材料）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支持AI+规则双检测引擎，交叉验证，精准有效捕捉各类常规Web攻击，0day攻击及其它新型未知攻击；</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（6）Web攻击防护（提供有效证明材料）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可防御SQL注入、命令注入攻击、XSS跨站脚本攻击、WebShell木马上传、文件包含、路径穿越类攻击、非法的HTTP协议请求、网页防篡改、常见Web服务器漏洞等攻击；</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0day漏洞检测（提供有效证明材料）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主动检测并及时发现高危Web漏洞、0day漏洞，并生成针对漏洞的防护规则；</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网页防篡改（提供有效证明材料）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支持网页防篡改功能，云端备份网站核心内容页面，保障网页内容不会因为源站安全事故而被篡改；</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9</w:t>
      </w:r>
      <w:r>
        <w:rPr>
          <w:rFonts w:ascii="宋体" w:hAnsi="宋体" w:eastAsia="宋体"/>
          <w:sz w:val="24"/>
          <w:szCs w:val="24"/>
        </w:rPr>
        <w:t>）</w:t>
      </w:r>
      <w:r>
        <w:rPr>
          <w:rFonts w:hint="eastAsia" w:ascii="宋体" w:hAnsi="宋体" w:eastAsia="宋体"/>
          <w:sz w:val="24"/>
          <w:szCs w:val="24"/>
        </w:rPr>
        <w:t>自定义精准防护（提供有效证明材料）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支持精细化基于IP、URL路径、Referer、UA参数的自定义防御规则，设置Web攻击防护措施，且不限制自定义防御规则数；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▲（10）反爬虫能力（提供有效证明材料）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支持对WAF发起短时间集中Web攻击的IP自动封禁；支持防目录遍历；支持对时间、访问频率、封禁时长的自定义设置；支持对常见扫描器的渗透测试拦截；支持无需用户修改代码即可接入图形或滑块验证码；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▲（11）Bot行为管理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①支持针对请求中的常见头部字段，如IP，URL、UserAgent、Referer或者参数中出现的Bot恶意特征，进行组合配置和访问控制；（提供有效证明材料）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②支持Bot行为管理，Bot策略设置，已知类型预设、自定义策略功能，并提供产品界面截图证明；</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12</w:t>
      </w:r>
      <w:r>
        <w:rPr>
          <w:rFonts w:ascii="宋体" w:hAnsi="宋体" w:eastAsia="宋体"/>
          <w:sz w:val="24"/>
          <w:szCs w:val="24"/>
        </w:rPr>
        <w:t>）</w:t>
      </w:r>
      <w:r>
        <w:rPr>
          <w:rFonts w:hint="eastAsia" w:ascii="宋体" w:hAnsi="宋体" w:eastAsia="宋体"/>
          <w:sz w:val="24"/>
          <w:szCs w:val="24"/>
        </w:rPr>
        <w:t>一键封禁（提供有效证明材料）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支持基于全球地理位置的区域IP封禁；</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w:t>
      </w:r>
      <w:r>
        <w:rPr>
          <w:rFonts w:hint="eastAsia" w:ascii="宋体" w:hAnsi="宋体" w:eastAsia="宋体"/>
          <w:sz w:val="24"/>
          <w:szCs w:val="24"/>
        </w:rPr>
        <w:t>IPV6地址防护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支持IPV6的业务安全防护；</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（14）攻击报表（提供有效证明材料）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支持防护数据后台统计功能，包括攻击源IP、攻击目标、攻击URL、攻击方式等内容，统计日志可下载导出；</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（15）高级CC防护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支持针对请求路径访问频率的识别及控制；支持触发条件开启“封禁访问”或“人机识别”策略模式，支持自定义惩罚时长；</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16</w:t>
      </w:r>
      <w:r>
        <w:rPr>
          <w:rFonts w:ascii="宋体" w:hAnsi="宋体" w:eastAsia="宋体"/>
          <w:sz w:val="24"/>
          <w:szCs w:val="24"/>
        </w:rPr>
        <w:t>）</w:t>
      </w:r>
      <w:r>
        <w:rPr>
          <w:rFonts w:hint="eastAsia" w:ascii="宋体" w:hAnsi="宋体" w:eastAsia="宋体"/>
          <w:sz w:val="24"/>
          <w:szCs w:val="24"/>
        </w:rPr>
        <w:t>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2.2.16云DDoS攻击防护服务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云厂商提供至少对2个公网IP、不限次数的DDoS防护能力；防火流量≥10Gbps,弹性防护≥50Gbps,业务带宽≥30bps；提供BGP高防包、BGP高防IP等多种DDoS解决方案;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▲（2）基本要求（提供有效证明材料）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提供的DDos攻击防护服务为厂商自有产品；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▲（3）DDoS防护（提供有效证明材料）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①支持包括但不限于SYN Flood、ACK Flood、ICMP Flood、UDP Flood、NTP Flood、SSDP Flood、DNS Flood、HTTP Flood等攻击类型；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②支持600Gbps的保底防护能力；</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（4）CC防护（提供有效证明材料）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支持CC攻击防护功能，提供不低于100万QPS的CC防护；</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（5）高级安全策略（提供有效证明材料）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支持协议禁用、端口禁用、报文特征过滤、拒绝海外流量、空连接防护功能；</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（6）CC自定义策略（提供有效证明材料）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支持自定义策略，进行限速及过滤；支持配置CC触发阈值，避免特殊时期业务受影响；</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（7）自主解封（提供有效证明材料）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支持因超过防护阈值被封堵时，自助解除封堵的功能；</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黑白名单（提供有效证明材料）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支持黑白名单功能；</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（9）协议支持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支持TCP、UDP、HTTP、HTTPS等协议，支持泛域名；</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（10）转发回源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支持IP及域名两种回源方式；</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（11）安全报表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支持提供实时精准的流量报表及攻击详情信息，至少包括：网络出入库流量趋势、攻击类型、攻击IP、攻击次数、攻击峰值等信息；</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12</w:t>
      </w:r>
      <w:r>
        <w:rPr>
          <w:rFonts w:ascii="宋体" w:hAnsi="宋体" w:eastAsia="宋体"/>
          <w:sz w:val="24"/>
          <w:szCs w:val="24"/>
        </w:rPr>
        <w:t>）</w:t>
      </w:r>
      <w:r>
        <w:rPr>
          <w:rFonts w:hint="eastAsia" w:ascii="宋体" w:hAnsi="宋体" w:eastAsia="宋体"/>
          <w:sz w:val="24"/>
          <w:szCs w:val="24"/>
        </w:rPr>
        <w:t>告警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①当发生相关安全事件，支持主动进行告警，告警信息包括攻击开始、攻击结束、IP封堵及解除封堵；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②支持短信、邮件、微信等多种告警方式；（提供有效证明材料）</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13</w:t>
      </w:r>
      <w:r>
        <w:rPr>
          <w:rFonts w:ascii="宋体" w:hAnsi="宋体" w:eastAsia="宋体"/>
          <w:sz w:val="24"/>
          <w:szCs w:val="24"/>
        </w:rPr>
        <w:t>）</w:t>
      </w:r>
      <w:r>
        <w:rPr>
          <w:rFonts w:hint="eastAsia" w:ascii="宋体" w:hAnsi="宋体" w:eastAsia="宋体"/>
          <w:sz w:val="24"/>
          <w:szCs w:val="24"/>
        </w:rPr>
        <w:t>安全联动（提供有效证明材料）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支持和云平台上云Web应用防火墙进行联动，保护业务安全；</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14</w:t>
      </w:r>
      <w:r>
        <w:rPr>
          <w:rFonts w:ascii="宋体" w:hAnsi="宋体" w:eastAsia="宋体"/>
          <w:sz w:val="24"/>
          <w:szCs w:val="24"/>
        </w:rPr>
        <w:t>）</w:t>
      </w:r>
      <w:r>
        <w:rPr>
          <w:rFonts w:hint="eastAsia" w:ascii="宋体" w:hAnsi="宋体" w:eastAsia="宋体"/>
          <w:sz w:val="24"/>
          <w:szCs w:val="24"/>
        </w:rPr>
        <w:t>IPv6支持（提供有效证明材料）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支持IPv6业务防护；</w:t>
      </w:r>
    </w:p>
    <w:p>
      <w:pPr>
        <w:spacing w:line="360" w:lineRule="auto"/>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15</w:t>
      </w:r>
      <w:r>
        <w:rPr>
          <w:rFonts w:ascii="宋体" w:hAnsi="宋体" w:eastAsia="宋体"/>
          <w:sz w:val="24"/>
          <w:szCs w:val="24"/>
        </w:rPr>
        <w:t>）</w:t>
      </w:r>
      <w:r>
        <w:rPr>
          <w:rFonts w:hint="eastAsia" w:ascii="宋体" w:hAnsi="宋体" w:eastAsia="宋体"/>
          <w:sz w:val="24"/>
          <w:szCs w:val="24"/>
        </w:rPr>
        <w:t>可用性（提供有效证明材料）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支持7*24*365使用，SLA可用性≥99.95%；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2.2.17云堡垒机服务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提供SaaS化堡垒机服务，支持通过SSLVPN或千代福专线访问；</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▲（2）用户管理</w:t>
      </w:r>
      <w:r>
        <w:rPr>
          <w:rFonts w:hint="eastAsia" w:ascii="宋体" w:hAnsi="宋体" w:eastAsia="宋体"/>
          <w:sz w:val="24"/>
          <w:szCs w:val="24"/>
        </w:rPr>
        <w:t>（提供有效证明材料）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支持用户多角色划分功能，对各类角色进行细粒度的权限管理；</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▲（3）访问控制</w:t>
      </w:r>
      <w:r>
        <w:rPr>
          <w:rFonts w:hint="eastAsia" w:ascii="宋体" w:hAnsi="宋体" w:eastAsia="宋体"/>
          <w:sz w:val="24"/>
          <w:szCs w:val="24"/>
        </w:rPr>
        <w:t>（提供有效证明材料）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支持用户安全策略配置功能，如密码锁定次数、密码有效期、密码复杂度、用户登录IP范围等；支持用户登录双因素或多因素认证；</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▲（4）资源管理</w:t>
      </w:r>
      <w:r>
        <w:rPr>
          <w:rFonts w:hint="eastAsia" w:ascii="宋体" w:hAnsi="宋体" w:eastAsia="宋体"/>
          <w:sz w:val="24"/>
          <w:szCs w:val="24"/>
        </w:rPr>
        <w:t>（提供有效证明材料）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支持SSH、TELNET、FTP、SFTP、VNC、XWINDOW等协议；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#（5）设备管理</w:t>
      </w:r>
    </w:p>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①</w:t>
      </w:r>
      <w:r>
        <w:rPr>
          <w:rFonts w:hint="eastAsia" w:ascii="宋体" w:hAnsi="宋体" w:eastAsia="宋体" w:cs="Times New Roman"/>
          <w:sz w:val="24"/>
          <w:szCs w:val="24"/>
        </w:rPr>
        <w:t>支持对设备批量添加主机账号、修改运维IP类型和运维端口，提高主机管理效率；</w:t>
      </w:r>
    </w:p>
    <w:p>
      <w:pPr>
        <w:spacing w:line="360" w:lineRule="auto"/>
        <w:ind w:firstLine="480" w:firstLineChars="200"/>
        <w:rPr>
          <w:rFonts w:ascii="宋体" w:hAnsi="宋体" w:eastAsia="宋体" w:cs="Times New Roman"/>
          <w:sz w:val="24"/>
          <w:szCs w:val="24"/>
        </w:rPr>
      </w:pPr>
      <w:r>
        <w:rPr>
          <w:rFonts w:hint="eastAsia" w:ascii="宋体" w:hAnsi="宋体" w:eastAsia="宋体"/>
          <w:sz w:val="24"/>
          <w:szCs w:val="24"/>
        </w:rPr>
        <w:t>②</w:t>
      </w:r>
      <w:r>
        <w:rPr>
          <w:rFonts w:hint="eastAsia" w:ascii="宋体" w:hAnsi="宋体" w:eastAsia="宋体" w:cs="Times New Roman"/>
          <w:sz w:val="24"/>
          <w:szCs w:val="24"/>
        </w:rPr>
        <w:t>支持登录设备IP、运维协议、端口号、账号、密码、用户、用户组的权限导出；</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#（6）身份认证要求</w:t>
      </w:r>
      <w:r>
        <w:rPr>
          <w:rFonts w:hint="eastAsia" w:ascii="宋体" w:hAnsi="宋体" w:eastAsia="宋体"/>
          <w:sz w:val="24"/>
          <w:szCs w:val="24"/>
        </w:rPr>
        <w:t>（提供有效证明材料）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支持与短信网关平台进行联动，实现短信动态口令双因素认证机制；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w:t>
      </w:r>
      <w:r>
        <w:rPr>
          <w:rFonts w:hint="eastAsia" w:ascii="宋体" w:hAnsi="宋体" w:eastAsia="宋体" w:cs="Times New Roman"/>
          <w:color w:val="000000"/>
          <w:sz w:val="24"/>
          <w:szCs w:val="24"/>
        </w:rPr>
        <w:t>字符审计</w:t>
      </w:r>
      <w:r>
        <w:rPr>
          <w:rFonts w:hint="eastAsia" w:ascii="宋体" w:hAnsi="宋体" w:eastAsia="宋体"/>
          <w:sz w:val="24"/>
          <w:szCs w:val="24"/>
        </w:rPr>
        <w:t>（提供有效证明材料）</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对字符命令方式的访问可以审计到所有交互内容，可以还原操作过程的命令输入和结果输出；</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sz w:val="24"/>
          <w:szCs w:val="24"/>
        </w:rPr>
        <w:t>#（8）</w:t>
      </w:r>
      <w:r>
        <w:rPr>
          <w:rFonts w:hint="eastAsia" w:ascii="宋体" w:hAnsi="宋体" w:eastAsia="宋体" w:cs="Times New Roman"/>
          <w:color w:val="000000"/>
          <w:sz w:val="24"/>
          <w:szCs w:val="24"/>
        </w:rPr>
        <w:t>图形审计</w:t>
      </w:r>
      <w:r>
        <w:rPr>
          <w:rFonts w:hint="eastAsia" w:ascii="宋体" w:hAnsi="宋体" w:eastAsia="宋体"/>
          <w:sz w:val="24"/>
          <w:szCs w:val="24"/>
        </w:rPr>
        <w:t>（提供有效证明材料）</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图形资源访问时，支持键盘、剪切板、文件传输记录，并且对图形资源的审计回放时，可以从某个键盘、剪切板、文件传输记录的指定位置开始回放；</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2.2.18云数据库审计Cassandra</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指标要求：</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w:t>
      </w:r>
      <w:r>
        <w:rPr>
          <w:rFonts w:hint="eastAsia" w:ascii="宋体" w:hAnsi="宋体" w:eastAsia="宋体"/>
          <w:sz w:val="24"/>
          <w:szCs w:val="24"/>
        </w:rPr>
        <w:t>（1）规格（提供有效证明材料）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color w:val="000000"/>
          <w:sz w:val="24"/>
          <w:szCs w:val="24"/>
        </w:rPr>
        <w:t>提供支持云数据库中Cassandra PaaS服务的3个数据库实例或裸金属服务的4个数据库实例的数据库安全审计服务；</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▲（2）数据库攻击实时动态检测</w:t>
      </w:r>
      <w:r>
        <w:rPr>
          <w:rFonts w:hint="eastAsia" w:ascii="宋体" w:hAnsi="宋体" w:eastAsia="宋体"/>
          <w:sz w:val="24"/>
          <w:szCs w:val="24"/>
        </w:rPr>
        <w:t>（提供有效证明材料）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针对数据库所在主机、数据库本身的网络攻击行为实时检测，支持对SQL注入、数据库漏洞攻击、远程命令执行等攻击方式，对任何尝试的攻击操作都会产生告警；支持用户界面告警、邮件、短信等多种方式告警；</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▲（3）数据库支持</w:t>
      </w:r>
      <w:r>
        <w:rPr>
          <w:rFonts w:hint="eastAsia" w:ascii="宋体" w:hAnsi="宋体" w:eastAsia="宋体"/>
          <w:sz w:val="24"/>
          <w:szCs w:val="24"/>
        </w:rPr>
        <w:t>（提供有效证明材料）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支持本项目涉及数据库的安全审计；</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▲（4）报表功能</w:t>
      </w:r>
      <w:r>
        <w:rPr>
          <w:rFonts w:hint="eastAsia" w:ascii="宋体" w:hAnsi="宋体" w:eastAsia="宋体"/>
          <w:sz w:val="24"/>
          <w:szCs w:val="24"/>
        </w:rPr>
        <w:t>（提供有效证明材料）</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提供告警报表、通知报表、SQL注入报表、批量数据访问行为报表；</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2.2.19云数据加密服务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指标要求：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★（1）规格（提供有效证明材料）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提供SaaS化数据加密服务，支持密钥托管和调用；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▲（2）基本密钥管理（提供有效证明材料）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①用户可创建、启用、禁用、删除、别名、轮转用户主密钥，支持对用户主密钥的生命周期管理；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②用户可创建、加密、解密数据密钥，支持国密算法；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#（3）一键集成加密能力（提供有效证明材料）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提供与其他云服务一键集成加密能力，包括云盘、文件存储、对象存储、数据库；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#（4）可用性（提供有效证明材料）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宋体"/>
          <w:kern w:val="0"/>
          <w:sz w:val="24"/>
          <w:szCs w:val="24"/>
          <w:lang w:bidi="en-US"/>
        </w:rPr>
        <w:t>支持7*24*365使用，SLA可用性</w:t>
      </w:r>
      <w:r>
        <w:rPr>
          <w:rFonts w:hint="eastAsia" w:ascii="宋体" w:hAnsi="宋体" w:eastAsia="宋体"/>
          <w:sz w:val="24"/>
          <w:szCs w:val="24"/>
        </w:rPr>
        <w:t>≥</w:t>
      </w:r>
      <w:r>
        <w:rPr>
          <w:rFonts w:hint="eastAsia" w:ascii="宋体" w:hAnsi="宋体" w:eastAsia="宋体" w:cs="宋体"/>
          <w:kern w:val="0"/>
          <w:sz w:val="24"/>
          <w:szCs w:val="24"/>
          <w:lang w:bidi="en-US"/>
        </w:rPr>
        <w:t>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2.2.20云验证码服务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★（1）规格（提供有效证明材料）</w:t>
      </w:r>
    </w:p>
    <w:p>
      <w:pPr>
        <w:spacing w:line="360" w:lineRule="auto"/>
        <w:ind w:firstLine="480" w:firstLineChars="200"/>
        <w:rPr>
          <w:rFonts w:ascii="宋体" w:hAnsi="宋体" w:eastAsia="宋体" w:cs="宋体"/>
          <w:color w:val="000000"/>
          <w:sz w:val="24"/>
          <w:szCs w:val="24"/>
        </w:rPr>
      </w:pPr>
      <w:r>
        <w:rPr>
          <w:rFonts w:hint="eastAsia" w:ascii="宋体" w:hAnsi="宋体" w:eastAsia="宋体" w:cs="Times New Roman"/>
          <w:color w:val="000000"/>
          <w:sz w:val="24"/>
          <w:szCs w:val="24"/>
        </w:rPr>
        <w:t>提供SaaS化网站访问验证码服务；</w:t>
      </w:r>
      <w:r>
        <w:rPr>
          <w:rFonts w:ascii="宋体" w:hAnsi="宋体" w:eastAsia="宋体" w:cs="宋体"/>
          <w:color w:val="000000"/>
          <w:sz w:val="24"/>
          <w:szCs w:val="24"/>
        </w:rPr>
        <w:t>支持滑块或图形验证、支持多语言，并发峰值</w:t>
      </w:r>
      <w:r>
        <w:rPr>
          <w:rFonts w:hint="eastAsia" w:ascii="宋体" w:hAnsi="宋体" w:eastAsia="宋体"/>
          <w:sz w:val="24"/>
          <w:szCs w:val="24"/>
        </w:rPr>
        <w:t>≥</w:t>
      </w:r>
      <w:r>
        <w:rPr>
          <w:rFonts w:hint="eastAsia" w:ascii="宋体" w:hAnsi="宋体" w:eastAsia="宋体" w:cs="宋体"/>
          <w:color w:val="000000"/>
          <w:sz w:val="24"/>
          <w:szCs w:val="24"/>
        </w:rPr>
        <w:t>900qps,每小时验证量</w:t>
      </w:r>
      <w:r>
        <w:rPr>
          <w:rFonts w:hint="eastAsia" w:ascii="宋体" w:hAnsi="宋体" w:eastAsia="宋体"/>
          <w:sz w:val="24"/>
          <w:szCs w:val="24"/>
        </w:rPr>
        <w:t>≥</w:t>
      </w:r>
      <w:r>
        <w:rPr>
          <w:rFonts w:hint="eastAsia" w:ascii="宋体" w:hAnsi="宋体" w:eastAsia="宋体" w:cs="宋体"/>
          <w:color w:val="000000"/>
          <w:sz w:val="24"/>
          <w:szCs w:val="24"/>
        </w:rPr>
        <w:t>20000次，可平滑扩展；</w:t>
      </w:r>
    </w:p>
    <w:p>
      <w:pPr>
        <w:spacing w:line="360" w:lineRule="auto"/>
        <w:ind w:firstLine="480" w:firstLineChars="200"/>
        <w:rPr>
          <w:rFonts w:ascii="宋体" w:hAnsi="宋体" w:eastAsia="宋体" w:cs="宋体"/>
          <w:color w:val="000000"/>
          <w:sz w:val="24"/>
          <w:szCs w:val="24"/>
        </w:rPr>
      </w:pPr>
      <w:r>
        <w:rPr>
          <w:rFonts w:hint="eastAsia" w:ascii="宋体" w:hAnsi="宋体" w:eastAsia="宋体" w:cs="Times New Roman"/>
          <w:sz w:val="24"/>
          <w:szCs w:val="24"/>
        </w:rPr>
        <w:t>▲（2）基本要求（提供有效证明材料）</w:t>
      </w:r>
    </w:p>
    <w:p>
      <w:pPr>
        <w:spacing w:line="360" w:lineRule="auto"/>
        <w:ind w:firstLine="480" w:firstLineChars="200"/>
        <w:rPr>
          <w:rFonts w:ascii="宋体" w:hAnsi="宋体" w:eastAsia="宋体" w:cs="宋体"/>
          <w:color w:val="000000"/>
          <w:sz w:val="24"/>
          <w:szCs w:val="24"/>
        </w:rPr>
      </w:pPr>
      <w:r>
        <w:rPr>
          <w:rFonts w:hint="eastAsia" w:ascii="宋体" w:hAnsi="宋体" w:eastAsia="宋体" w:cs="Times New Roman"/>
          <w:sz w:val="24"/>
          <w:szCs w:val="24"/>
        </w:rPr>
        <w:t>云验证服务为云厂商自有产品；</w:t>
      </w:r>
    </w:p>
    <w:p>
      <w:pPr>
        <w:spacing w:line="360" w:lineRule="auto"/>
        <w:ind w:firstLine="480" w:firstLineChars="200"/>
        <w:rPr>
          <w:rFonts w:ascii="宋体" w:hAnsi="宋体" w:eastAsia="宋体" w:cs="宋体"/>
          <w:color w:val="000000"/>
          <w:sz w:val="24"/>
          <w:szCs w:val="24"/>
        </w:rPr>
      </w:pPr>
      <w:r>
        <w:rPr>
          <w:rFonts w:hint="eastAsia" w:ascii="宋体" w:hAnsi="宋体" w:eastAsia="宋体" w:cs="Times New Roman"/>
          <w:sz w:val="24"/>
          <w:szCs w:val="24"/>
        </w:rPr>
        <w:t>#（3）多平台的防控（提供有效证明材料）</w:t>
      </w:r>
    </w:p>
    <w:p>
      <w:pPr>
        <w:spacing w:line="360" w:lineRule="auto"/>
        <w:ind w:firstLine="480" w:firstLineChars="200"/>
        <w:rPr>
          <w:rFonts w:ascii="宋体" w:hAnsi="宋体" w:eastAsia="宋体" w:cs="宋体"/>
          <w:color w:val="000000"/>
          <w:sz w:val="24"/>
          <w:szCs w:val="24"/>
        </w:rPr>
      </w:pPr>
      <w:r>
        <w:rPr>
          <w:rFonts w:hint="eastAsia" w:ascii="宋体" w:hAnsi="宋体" w:eastAsia="宋体" w:cs="Times New Roman"/>
          <w:sz w:val="24"/>
          <w:szCs w:val="24"/>
        </w:rPr>
        <w:t>支持PC端Web和移动端平台的风险防控；</w:t>
      </w:r>
    </w:p>
    <w:p>
      <w:pPr>
        <w:spacing w:line="360" w:lineRule="auto"/>
        <w:ind w:firstLine="480" w:firstLineChars="200"/>
        <w:rPr>
          <w:rFonts w:ascii="宋体" w:hAnsi="宋体" w:eastAsia="宋体" w:cs="宋体"/>
          <w:color w:val="000000"/>
          <w:sz w:val="24"/>
          <w:szCs w:val="24"/>
        </w:rPr>
      </w:pPr>
      <w:r>
        <w:rPr>
          <w:rFonts w:hint="eastAsia" w:ascii="宋体" w:hAnsi="宋体" w:eastAsia="宋体" w:cs="Times New Roman"/>
          <w:sz w:val="24"/>
          <w:szCs w:val="24"/>
        </w:rPr>
        <w:t>#（4）风险二次验证（提供有效证明材料）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对于正常请求，一次通过；对恶意请求，直接拦截；对高风险请求，进行二次再验证；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#（5）可用性（提供有效证明材料）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支持7*24*365使用，SLA可用性</w:t>
      </w:r>
      <w:r>
        <w:rPr>
          <w:rFonts w:hint="eastAsia" w:ascii="宋体" w:hAnsi="宋体" w:eastAsia="宋体"/>
          <w:sz w:val="24"/>
          <w:szCs w:val="24"/>
        </w:rPr>
        <w:t>≥</w:t>
      </w:r>
      <w:r>
        <w:rPr>
          <w:rFonts w:hint="eastAsia" w:ascii="宋体" w:hAnsi="宋体" w:eastAsia="宋体" w:cs="Times New Roman"/>
          <w:sz w:val="24"/>
          <w:szCs w:val="24"/>
        </w:rPr>
        <w:t>99.95%；</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2.2.21SSL证书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★（1）证书类型（提供有效证明材料）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提供适合政府组织使用、</w:t>
      </w:r>
      <w:r>
        <w:rPr>
          <w:rFonts w:ascii="宋体" w:hAnsi="宋体" w:eastAsia="宋体" w:cs="Times New Roman"/>
          <w:sz w:val="24"/>
          <w:szCs w:val="24"/>
        </w:rPr>
        <w:t>全球各国家均承认</w:t>
      </w:r>
      <w:r>
        <w:rPr>
          <w:rFonts w:hint="eastAsia" w:ascii="宋体" w:hAnsi="宋体" w:eastAsia="宋体" w:cs="Times New Roman"/>
          <w:sz w:val="24"/>
          <w:szCs w:val="24"/>
        </w:rPr>
        <w:t>的SSL证书；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▲（2）重新颁发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不限次数颁发</w:t>
      </w:r>
      <w:r>
        <w:rPr>
          <w:rFonts w:ascii="宋体" w:hAnsi="宋体" w:eastAsia="宋体" w:cs="Times New Roman"/>
          <w:sz w:val="24"/>
          <w:szCs w:val="24"/>
        </w:rPr>
        <w:t>证书</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▲（3）多年服务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支持多年服务；</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77" w:name="_Toc74225061"/>
      <w:bookmarkStart w:id="78" w:name="_Toc80886824"/>
      <w:r>
        <w:rPr>
          <w:rFonts w:hint="eastAsia" w:ascii="宋体" w:hAnsi="宋体" w:eastAsia="宋体" w:cs="Times New Roman"/>
          <w:b/>
          <w:kern w:val="0"/>
          <w:sz w:val="24"/>
          <w:szCs w:val="20"/>
        </w:rPr>
        <w:t>2.3服务要求</w:t>
      </w:r>
      <w:bookmarkEnd w:id="77"/>
      <w:bookmarkEnd w:id="78"/>
    </w:p>
    <w:p>
      <w:pPr>
        <w:spacing w:line="360" w:lineRule="auto"/>
        <w:rPr>
          <w:rFonts w:ascii="宋体" w:hAnsi="宋体" w:eastAsia="宋体"/>
          <w:sz w:val="24"/>
          <w:szCs w:val="24"/>
        </w:rPr>
      </w:pPr>
      <w:r>
        <w:rPr>
          <w:rFonts w:hint="eastAsia" w:ascii="宋体" w:hAnsi="宋体" w:eastAsia="宋体"/>
          <w:sz w:val="24"/>
          <w:szCs w:val="24"/>
        </w:rPr>
        <w:t>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（1）指标按重要性分为“★”、“▲”。</w:t>
      </w:r>
      <w:r>
        <w:rPr>
          <w:rFonts w:ascii="宋体" w:hAnsi="宋体" w:eastAsia="宋体" w:cs="Times New Roman"/>
          <w:sz w:val="24"/>
          <w:szCs w:val="24"/>
        </w:rPr>
        <w:t>★代表最关键指标，不满足该指标项将导致投标被拒绝，</w:t>
      </w:r>
      <w:r>
        <w:rPr>
          <w:rFonts w:hint="eastAsia" w:ascii="宋体" w:hAnsi="宋体" w:eastAsia="宋体" w:cs="Times New Roman"/>
          <w:sz w:val="24"/>
          <w:szCs w:val="24"/>
        </w:rPr>
        <w:t>▲</w:t>
      </w:r>
      <w:r>
        <w:rPr>
          <w:rFonts w:ascii="宋体" w:hAnsi="宋体" w:eastAsia="宋体" w:cs="Times New Roman"/>
          <w:sz w:val="24"/>
          <w:szCs w:val="24"/>
        </w:rPr>
        <w:t>代表重要指标。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（2）有效证明材料要求：投标人须提供包含相关指标项的证明材料，证明材料包括但不限于相关资质证书、生产厂家官方网站截图、产品白皮书、第三方机构检验报告、原厂对系统功能的承诺函、原厂商</w:t>
      </w:r>
      <w:r>
        <w:rPr>
          <w:rFonts w:ascii="宋体" w:hAnsi="宋体" w:eastAsia="宋体"/>
          <w:sz w:val="24"/>
          <w:szCs w:val="24"/>
        </w:rPr>
        <w:t>授权函或</w:t>
      </w:r>
      <w:r>
        <w:rPr>
          <w:rFonts w:hint="eastAsia" w:ascii="宋体" w:hAnsi="宋体" w:eastAsia="宋体"/>
          <w:sz w:val="24"/>
          <w:szCs w:val="24"/>
        </w:rPr>
        <w:t>其他相关证明材料，并加盖投标人公章，未提供有效证明材料或证明材料中内容与所填报指标不一致的，该指标按不满足处理。</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2.3.1云迁移咨询及实施服务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★（1）人力资源要求（提供有效证明材料）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不少于30人天的云迁移咨询及实施服务；迁移咨询团队负责设计系统上云后整体架构，包括网络、应用、安全及容灾备份架构；实施服务团队负责提供互联网系统迁移到云的具体实施方案设计，保证现有数据资源、系统架构和系统进行资源整合及平滑迁移和过渡。要求方案经济可行，且投标方负责实施并完全承担相应的迁移成本；</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★（2）专家支持（提供有效证明材料）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云迁移部署实施过程中，云厂商需要指派自有技术专家团队提供技术支持服务,包括云主机、网络、安全及Cassandra数据库等领域至少一名专家支持；</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2.3.2安全专家服务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★（1）安全产品配置指导（提供有效证明材料）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提供5*8的安全产品配置指导及在线安全咨询服务，包含但不限于云防火墙、高防、云WAF、态势感知等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★（2）安全评估服务（提供有效证明材料）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每年进行一次云上业务安全评估，并提供一份云上业务安全书面建议方案；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▲（3）安全扫描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新业务上线前提供一次安全扫描，一次复扫；每季度进行一次全面扫描。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▲（4）安全监控与巡检</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每天提供一次全面巡检，每周发送安全巡检周报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▲（5）安全事件应急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提供每年4次服务范围内业务（已完成扫描和评估）的安全入侵事件7*24小时电话响应；</w:t>
      </w:r>
    </w:p>
    <w:p>
      <w:pPr>
        <w:pStyle w:val="6"/>
        <w:spacing w:before="0" w:after="0" w:line="360" w:lineRule="auto"/>
        <w:ind w:firstLine="482" w:firstLineChars="200"/>
        <w:rPr>
          <w:rFonts w:ascii="宋体" w:hAnsi="宋体" w:eastAsia="宋体"/>
          <w:sz w:val="24"/>
          <w:szCs w:val="24"/>
        </w:rPr>
      </w:pPr>
      <w:r>
        <w:rPr>
          <w:rFonts w:hint="eastAsia" w:ascii="宋体" w:hAnsi="宋体" w:eastAsia="宋体"/>
          <w:sz w:val="24"/>
          <w:szCs w:val="24"/>
        </w:rPr>
        <w:t>2.3.3云平台支持和运维服务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★（1）监控服务（提供有效证明材料）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监控服务：提供7*24小时的云平台监控服务。提供项目涉及的云资源监控，有监控平台的登录权限，可以通过监控平台实时查看系统的监控信息，监控内容包括CPU，内存，网络等；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★（2）服务网络（提供承诺书）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投标人需提供不少于5人的服务团队支持，且保证服务团队人员可1小时内到达客户现场。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▲（3）运维方式受理时间（提供有效证明材料）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热线电话支持，7×24小时；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官网在线咨询，7×24小时；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人工服务7×15小时（早9-晚24）；</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工单支持：7×24小时；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▲（4）专家会诊（提供有效证明材料）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严重问题时，需要云主机、存储、安全、网络等各领域专家进行疑难应急会诊；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响应时间：业务不可用＜10分钟；一般问题＜60分钟；一般咨询＜4小时；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★（5）故障恢复（提供有效证明材料）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因云厂商提供的资源和服务导致的严重系统宕机和严重安全问题，云厂商需承诺在6小时内提供解决方案；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★（6）数据库专家服务（提供有效证明材料）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提供7*24小时Cassandra数据库专家服务；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▲（7）培训服务（提供有效证明材料）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提供本次云产品不少于10人天的厂商认证的工程师产品实操培训课程。涵盖本项目使用的各种云产品。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★（8）扩容单价折扣（提供有效证明材料）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投标人须承诺未来扩容单价的折扣不超过本次投标单价的折扣；</w:t>
      </w:r>
    </w:p>
    <w:p>
      <w:pPr>
        <w:pStyle w:val="3"/>
        <w:spacing w:before="0" w:after="0" w:line="360" w:lineRule="auto"/>
        <w:ind w:firstLine="482" w:firstLineChars="200"/>
        <w:jc w:val="left"/>
        <w:rPr>
          <w:rFonts w:ascii="宋体" w:hAnsi="宋体" w:eastAsia="宋体" w:cstheme="minorBidi"/>
          <w:sz w:val="24"/>
          <w:szCs w:val="24"/>
        </w:rPr>
      </w:pPr>
      <w:bookmarkStart w:id="79" w:name="_Toc80886825"/>
      <w:r>
        <w:rPr>
          <w:rFonts w:ascii="宋体" w:hAnsi="宋体" w:eastAsia="宋体" w:cstheme="minorBidi"/>
          <w:sz w:val="24"/>
          <w:szCs w:val="24"/>
        </w:rPr>
        <w:t>三、实施方案</w:t>
      </w:r>
      <w:bookmarkEnd w:id="79"/>
    </w:p>
    <w:p>
      <w:pPr>
        <w:spacing w:line="360" w:lineRule="auto"/>
        <w:rPr>
          <w:rFonts w:ascii="宋体" w:hAnsi="宋体" w:eastAsia="宋体" w:cs="Times New Roman"/>
          <w:sz w:val="24"/>
          <w:szCs w:val="24"/>
        </w:rPr>
      </w:pPr>
      <w:r>
        <w:rPr>
          <w:rFonts w:hint="eastAsia" w:ascii="宋体" w:hAnsi="宋体" w:eastAsia="宋体" w:cs="Times New Roman"/>
          <w:sz w:val="24"/>
          <w:szCs w:val="24"/>
        </w:rPr>
        <w:t>注：</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投标人须按以下要求提供相关证明材料。</w:t>
      </w:r>
      <w:r>
        <w:rPr>
          <w:rFonts w:hint="eastAsia" w:ascii="宋体" w:hAnsi="宋体" w:eastAsia="宋体" w:cs="Times New Roman"/>
          <w:sz w:val="24"/>
          <w:szCs w:val="24"/>
        </w:rPr>
        <w:t>证明材料可以使用生产厂家官方网站截图、原厂商服务</w:t>
      </w:r>
      <w:r>
        <w:rPr>
          <w:rFonts w:ascii="宋体" w:hAnsi="宋体" w:eastAsia="宋体" w:cs="Times New Roman"/>
          <w:sz w:val="24"/>
          <w:szCs w:val="24"/>
        </w:rPr>
        <w:t>授权函或</w:t>
      </w:r>
      <w:r>
        <w:rPr>
          <w:rFonts w:hint="eastAsia" w:ascii="宋体" w:hAnsi="宋体" w:eastAsia="宋体" w:cs="Times New Roman"/>
          <w:sz w:val="24"/>
          <w:szCs w:val="24"/>
        </w:rPr>
        <w:t>其他相关证明材料，并加盖原厂公章。</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80" w:name="_Toc80886826"/>
      <w:r>
        <w:rPr>
          <w:rFonts w:hint="eastAsia" w:ascii="宋体" w:hAnsi="宋体" w:eastAsia="宋体" w:cs="Times New Roman"/>
          <w:b/>
          <w:kern w:val="0"/>
          <w:sz w:val="24"/>
          <w:szCs w:val="20"/>
        </w:rPr>
        <w:t>3.1迁移能力要求</w:t>
      </w:r>
      <w:bookmarkEnd w:id="8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（1）具备具备丰富从非云原生环境向云环境迁移服务实践经验和能力；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（2）具备多厂商硬件、云、系统平台、应用、中间件等云化迁移评估、集成设计、实施经验；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（3）具备多种数据库以及中间件整合迁移技术交付经验；具备跨平台迁移方案设计、性能规划方法和经验。</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81" w:name="_Toc80886827"/>
      <w:r>
        <w:rPr>
          <w:rFonts w:hint="eastAsia" w:ascii="宋体" w:hAnsi="宋体" w:eastAsia="宋体" w:cs="Times New Roman"/>
          <w:b/>
          <w:kern w:val="0"/>
          <w:sz w:val="24"/>
          <w:szCs w:val="20"/>
        </w:rPr>
        <w:t>3.2迁移方案要求</w:t>
      </w:r>
      <w:bookmarkEnd w:id="81"/>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（1）含根据待迁移的应用关联性来规划的迁移批次计划；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（2）业务系统云迁移场景分类详细、合理，且迁移方案科学，与本次搬迁需求符合；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（3）明确定义割接步骤、责任分工界面（包括应用厂商及买方）、割接报告模板和回退方案；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（4）明确定义风险识别、风险评估、风险等级及风险应对措施；</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82" w:name="_Toc80886828"/>
      <w:r>
        <w:rPr>
          <w:rFonts w:hint="eastAsia" w:ascii="宋体" w:hAnsi="宋体" w:eastAsia="宋体" w:cs="Times New Roman"/>
          <w:b/>
          <w:kern w:val="0"/>
          <w:sz w:val="24"/>
          <w:szCs w:val="20"/>
        </w:rPr>
        <w:t>3.3项目实施过程控制</w:t>
      </w:r>
      <w:bookmarkEnd w:id="82"/>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具备完善的流程，包括项目启动会议、提交项目计划、评估系统现状、涉及迁移方案、实施迁移服务、验收迁移项目；</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83" w:name="_Toc80886829"/>
      <w:r>
        <w:rPr>
          <w:rFonts w:hint="eastAsia" w:ascii="宋体" w:hAnsi="宋体" w:eastAsia="宋体" w:cs="Times New Roman"/>
          <w:b/>
          <w:kern w:val="0"/>
          <w:sz w:val="24"/>
          <w:szCs w:val="20"/>
        </w:rPr>
        <w:t>3.4项目实施过程安排</w:t>
      </w:r>
      <w:bookmarkEnd w:id="83"/>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（1）项目启动阶段，完成团队组建，输出项目计划；</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（2）评估分析阶段，完成需求分析、信息收集，输出迁移策略；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（3）规划设计阶段，完成迁移流程规划、方案设计、应以预案，完成技术上的准备；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（4）实施迁移阶段，完成实施研讨、迁移工具部署、工具测试、迁移演练、应用软件调测和业务验证，最终完成业务割接；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（5）迁移验收阶段，完成验收方案制定、监控和实施验收；</w:t>
      </w:r>
    </w:p>
    <w:p>
      <w:pPr>
        <w:keepNext/>
        <w:keepLines/>
        <w:tabs>
          <w:tab w:val="center" w:pos="4592"/>
          <w:tab w:val="left" w:pos="7860"/>
        </w:tabs>
        <w:autoSpaceDE w:val="0"/>
        <w:autoSpaceDN w:val="0"/>
        <w:adjustRightInd w:val="0"/>
        <w:spacing w:line="360" w:lineRule="auto"/>
        <w:ind w:firstLine="482" w:firstLineChars="200"/>
        <w:jc w:val="left"/>
        <w:outlineLvl w:val="2"/>
        <w:rPr>
          <w:rFonts w:ascii="宋体" w:hAnsi="宋体" w:eastAsia="宋体" w:cs="Times New Roman"/>
          <w:b/>
          <w:kern w:val="0"/>
          <w:sz w:val="24"/>
          <w:szCs w:val="20"/>
        </w:rPr>
      </w:pPr>
      <w:bookmarkStart w:id="84" w:name="_Toc80886830"/>
      <w:r>
        <w:rPr>
          <w:rFonts w:hint="eastAsia" w:ascii="宋体" w:hAnsi="宋体" w:eastAsia="宋体" w:cs="Times New Roman"/>
          <w:b/>
          <w:kern w:val="0"/>
          <w:sz w:val="24"/>
          <w:szCs w:val="20"/>
        </w:rPr>
        <w:t>3.5项目验收安排</w:t>
      </w:r>
      <w:bookmarkEnd w:id="84"/>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（1）提供《业务迁移方案》，《项目迁移计划》等文档材料；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（2）业务系统完成迁移工作，运行10个自然日；</w:t>
      </w:r>
    </w:p>
    <w:p>
      <w:pPr>
        <w:widowControl/>
        <w:jc w:val="left"/>
        <w:rPr>
          <w:rFonts w:ascii="宋体" w:hAnsi="宋体" w:eastAsia="宋体" w:cs="Times New Roman"/>
          <w:sz w:val="24"/>
          <w:szCs w:val="24"/>
        </w:rPr>
      </w:pPr>
      <w:r>
        <w:rPr>
          <w:rFonts w:ascii="宋体" w:hAnsi="宋体" w:eastAsia="宋体" w:cs="Times New Roman"/>
          <w:sz w:val="24"/>
          <w:szCs w:val="24"/>
        </w:rPr>
        <w:br w:type="page"/>
      </w:r>
    </w:p>
    <w:p>
      <w:pPr>
        <w:pStyle w:val="2"/>
        <w:spacing w:before="0" w:after="0"/>
        <w:jc w:val="center"/>
        <w:rPr>
          <w:rFonts w:ascii="宋体" w:hAnsi="宋体" w:eastAsia="宋体"/>
          <w:sz w:val="32"/>
          <w:szCs w:val="32"/>
        </w:rPr>
      </w:pPr>
      <w:bookmarkStart w:id="85" w:name="_Toc43715860"/>
      <w:bookmarkStart w:id="86" w:name="_Toc80886831"/>
      <w:r>
        <w:rPr>
          <w:rFonts w:hint="eastAsia" w:ascii="宋体" w:hAnsi="宋体" w:eastAsia="宋体"/>
          <w:sz w:val="32"/>
          <w:szCs w:val="32"/>
        </w:rPr>
        <w:t>第五章 评标标准</w:t>
      </w:r>
      <w:bookmarkEnd w:id="85"/>
      <w:bookmarkEnd w:id="86"/>
    </w:p>
    <w:tbl>
      <w:tblPr>
        <w:tblStyle w:val="52"/>
        <w:tblW w:w="8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276"/>
        <w:gridCol w:w="5239"/>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1159" w:type="dxa"/>
            <w:vAlign w:val="center"/>
          </w:tcPr>
          <w:p>
            <w:pPr>
              <w:tabs>
                <w:tab w:val="left" w:pos="1800"/>
              </w:tabs>
              <w:jc w:val="center"/>
              <w:rPr>
                <w:rFonts w:ascii="宋体" w:hAnsi="宋体" w:eastAsia="宋体" w:cs="Times New Roman"/>
                <w:b/>
                <w:szCs w:val="21"/>
              </w:rPr>
            </w:pPr>
            <w:r>
              <w:rPr>
                <w:rFonts w:hint="eastAsia" w:ascii="宋体" w:hAnsi="宋体" w:eastAsia="宋体" w:cs="Times New Roman"/>
                <w:b/>
                <w:szCs w:val="21"/>
              </w:rPr>
              <w:t>序号</w:t>
            </w:r>
          </w:p>
        </w:tc>
        <w:tc>
          <w:tcPr>
            <w:tcW w:w="1276" w:type="dxa"/>
            <w:vAlign w:val="center"/>
          </w:tcPr>
          <w:p>
            <w:pPr>
              <w:tabs>
                <w:tab w:val="left" w:pos="1800"/>
              </w:tabs>
              <w:jc w:val="center"/>
              <w:rPr>
                <w:rFonts w:ascii="宋体" w:hAnsi="宋体" w:eastAsia="宋体" w:cs="Times New Roman"/>
                <w:b/>
                <w:szCs w:val="21"/>
              </w:rPr>
            </w:pPr>
            <w:r>
              <w:rPr>
                <w:rFonts w:hint="eastAsia" w:ascii="宋体" w:hAnsi="宋体" w:eastAsia="宋体" w:cs="Times New Roman"/>
                <w:b/>
                <w:szCs w:val="21"/>
              </w:rPr>
              <w:t>项目</w:t>
            </w:r>
          </w:p>
        </w:tc>
        <w:tc>
          <w:tcPr>
            <w:tcW w:w="5239" w:type="dxa"/>
            <w:vAlign w:val="center"/>
          </w:tcPr>
          <w:p>
            <w:pPr>
              <w:tabs>
                <w:tab w:val="left" w:pos="1800"/>
              </w:tabs>
              <w:jc w:val="center"/>
              <w:rPr>
                <w:rFonts w:ascii="宋体" w:hAnsi="宋体" w:eastAsia="宋体" w:cs="Times New Roman"/>
                <w:b/>
                <w:szCs w:val="21"/>
              </w:rPr>
            </w:pPr>
            <w:r>
              <w:rPr>
                <w:rFonts w:hint="eastAsia" w:ascii="宋体" w:hAnsi="宋体" w:eastAsia="宋体" w:cs="Times New Roman"/>
                <w:b/>
                <w:szCs w:val="21"/>
              </w:rPr>
              <w:t>评分</w:t>
            </w:r>
            <w:r>
              <w:rPr>
                <w:rFonts w:ascii="宋体" w:hAnsi="宋体" w:eastAsia="宋体" w:cs="Times New Roman"/>
                <w:b/>
                <w:szCs w:val="21"/>
              </w:rPr>
              <w:t>标准</w:t>
            </w:r>
          </w:p>
        </w:tc>
        <w:tc>
          <w:tcPr>
            <w:tcW w:w="681" w:type="dxa"/>
            <w:vAlign w:val="center"/>
          </w:tcPr>
          <w:p>
            <w:pPr>
              <w:tabs>
                <w:tab w:val="left" w:pos="1800"/>
              </w:tabs>
              <w:jc w:val="center"/>
              <w:rPr>
                <w:rFonts w:ascii="宋体" w:hAnsi="宋体" w:eastAsia="宋体" w:cs="Times New Roman"/>
                <w:b/>
                <w:szCs w:val="21"/>
              </w:rPr>
            </w:pPr>
            <w:r>
              <w:rPr>
                <w:rFonts w:hint="eastAsia" w:ascii="宋体" w:hAnsi="宋体" w:eastAsia="宋体" w:cs="Times New Roman"/>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（一）</w:t>
            </w:r>
          </w:p>
          <w:p>
            <w:pPr>
              <w:tabs>
                <w:tab w:val="left" w:pos="1800"/>
              </w:tabs>
              <w:jc w:val="center"/>
              <w:rPr>
                <w:rFonts w:ascii="宋体" w:hAnsi="宋体" w:eastAsia="宋体" w:cs="Times New Roman"/>
                <w:szCs w:val="21"/>
              </w:rPr>
            </w:pPr>
            <w:r>
              <w:rPr>
                <w:rFonts w:hint="eastAsia" w:ascii="宋体" w:hAnsi="宋体" w:eastAsia="宋体" w:cs="Times New Roman"/>
                <w:szCs w:val="21"/>
              </w:rPr>
              <w:t>商务部分</w:t>
            </w:r>
          </w:p>
          <w:p>
            <w:pPr>
              <w:tabs>
                <w:tab w:val="left" w:pos="1800"/>
              </w:tabs>
              <w:jc w:val="center"/>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10</w:t>
            </w:r>
            <w:r>
              <w:rPr>
                <w:rFonts w:hint="eastAsia" w:ascii="宋体" w:hAnsi="宋体" w:eastAsia="宋体" w:cs="Times New Roman"/>
                <w:szCs w:val="21"/>
              </w:rPr>
              <w:t>分）</w:t>
            </w:r>
          </w:p>
        </w:tc>
        <w:tc>
          <w:tcPr>
            <w:tcW w:w="1276" w:type="dxa"/>
            <w:vAlign w:val="center"/>
          </w:tcPr>
          <w:p>
            <w:pPr>
              <w:tabs>
                <w:tab w:val="left" w:pos="1800"/>
              </w:tabs>
              <w:jc w:val="center"/>
              <w:rPr>
                <w:rFonts w:ascii="宋体" w:hAnsi="宋体" w:eastAsia="宋体" w:cs="Times New Roman"/>
                <w:szCs w:val="21"/>
              </w:rPr>
            </w:pPr>
            <w:r>
              <w:rPr>
                <w:rFonts w:ascii="宋体" w:hAnsi="宋体" w:eastAsia="宋体" w:cs="Times New Roman"/>
                <w:szCs w:val="21"/>
              </w:rPr>
              <w:t>投标人企业实力</w:t>
            </w:r>
          </w:p>
        </w:tc>
        <w:tc>
          <w:tcPr>
            <w:tcW w:w="5239" w:type="dxa"/>
            <w:vAlign w:val="center"/>
          </w:tcPr>
          <w:p>
            <w:pPr>
              <w:rPr>
                <w:rFonts w:ascii="宋体" w:hAnsi="宋体" w:eastAsia="宋体"/>
              </w:rPr>
            </w:pPr>
            <w:r>
              <w:rPr>
                <w:rFonts w:hint="eastAsia" w:ascii="宋体" w:hAnsi="宋体" w:eastAsia="宋体"/>
              </w:rPr>
              <w:t>投标人具有有效期内的：</w:t>
            </w:r>
          </w:p>
          <w:p>
            <w:pPr>
              <w:rPr>
                <w:rFonts w:ascii="宋体" w:hAnsi="宋体" w:eastAsia="宋体"/>
              </w:rPr>
            </w:pPr>
            <w:r>
              <w:rPr>
                <w:rFonts w:hint="eastAsia" w:ascii="宋体" w:hAnsi="宋体" w:eastAsia="宋体"/>
              </w:rPr>
              <w:t>①信息系统安全管理体系认证证书（ISO27001）；</w:t>
            </w:r>
          </w:p>
          <w:p>
            <w:pPr>
              <w:rPr>
                <w:rFonts w:ascii="宋体" w:hAnsi="宋体" w:eastAsia="宋体"/>
              </w:rPr>
            </w:pPr>
            <w:r>
              <w:rPr>
                <w:rFonts w:hint="eastAsia" w:ascii="宋体" w:hAnsi="宋体" w:eastAsia="宋体"/>
              </w:rPr>
              <w:t>②个人信息安全管理体系认证证书（BS10012）；</w:t>
            </w:r>
          </w:p>
          <w:p>
            <w:pPr>
              <w:rPr>
                <w:rFonts w:ascii="宋体" w:hAnsi="宋体" w:eastAsia="宋体"/>
              </w:rPr>
            </w:pPr>
            <w:r>
              <w:rPr>
                <w:rFonts w:hint="eastAsia" w:ascii="宋体" w:hAnsi="宋体" w:eastAsia="宋体"/>
              </w:rPr>
              <w:t>③具有隐私信息管理体系认证证书(ISO27701)；</w:t>
            </w:r>
          </w:p>
          <w:p>
            <w:pPr>
              <w:rPr>
                <w:rFonts w:ascii="宋体" w:hAnsi="宋体" w:eastAsia="宋体"/>
              </w:rPr>
            </w:pPr>
            <w:r>
              <w:rPr>
                <w:rFonts w:hint="eastAsia" w:ascii="宋体" w:hAnsi="宋体" w:eastAsia="宋体"/>
              </w:rPr>
              <w:t>④信息技术服务管理体系认证证书（ISO20000）；</w:t>
            </w:r>
          </w:p>
          <w:p>
            <w:pPr>
              <w:rPr>
                <w:rFonts w:ascii="宋体" w:hAnsi="宋体" w:eastAsia="宋体"/>
              </w:rPr>
            </w:pPr>
            <w:r>
              <w:rPr>
                <w:rFonts w:hint="eastAsia" w:ascii="宋体" w:hAnsi="宋体" w:eastAsia="宋体"/>
              </w:rPr>
              <w:t>⑤云安全管理体系认证证书（ISO27017）。</w:t>
            </w:r>
          </w:p>
          <w:p>
            <w:pPr>
              <w:rPr>
                <w:rFonts w:ascii="宋体" w:hAnsi="宋体" w:eastAsia="宋体"/>
              </w:rPr>
            </w:pPr>
            <w:r>
              <w:rPr>
                <w:rFonts w:hint="eastAsia" w:ascii="宋体" w:hAnsi="宋体" w:eastAsia="宋体"/>
              </w:rPr>
              <w:t>以上每提供1项得2分，最高得10分。</w:t>
            </w:r>
          </w:p>
          <w:p>
            <w:pPr>
              <w:rPr>
                <w:rFonts w:ascii="宋体" w:hAnsi="宋体" w:eastAsia="宋体" w:cs="Times New Roman"/>
                <w:szCs w:val="21"/>
              </w:rPr>
            </w:pPr>
            <w:r>
              <w:rPr>
                <w:rFonts w:hint="eastAsia" w:ascii="宋体" w:hAnsi="宋体" w:eastAsia="宋体"/>
              </w:rPr>
              <w:t>注：投标人提供以上有效的认证证书复印件并加盖公章，否则评审时不予认可。</w:t>
            </w:r>
          </w:p>
        </w:tc>
        <w:tc>
          <w:tcPr>
            <w:tcW w:w="681"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restart"/>
            <w:vAlign w:val="center"/>
          </w:tcPr>
          <w:p>
            <w:pPr>
              <w:jc w:val="center"/>
              <w:rPr>
                <w:rFonts w:ascii="宋体" w:hAnsi="宋体" w:eastAsia="宋体" w:cs="Times New Roman"/>
                <w:szCs w:val="21"/>
              </w:rPr>
            </w:pPr>
            <w:r>
              <w:rPr>
                <w:rFonts w:hint="eastAsia" w:ascii="宋体" w:hAnsi="宋体" w:eastAsia="宋体" w:cs="Times New Roman"/>
                <w:szCs w:val="21"/>
              </w:rPr>
              <w:t>（二）</w:t>
            </w:r>
          </w:p>
          <w:p>
            <w:pPr>
              <w:jc w:val="center"/>
              <w:rPr>
                <w:rFonts w:ascii="宋体" w:hAnsi="宋体" w:eastAsia="宋体" w:cs="宋体"/>
                <w:szCs w:val="21"/>
              </w:rPr>
            </w:pPr>
            <w:r>
              <w:rPr>
                <w:rFonts w:hint="eastAsia" w:ascii="宋体" w:hAnsi="宋体" w:eastAsia="宋体" w:cs="宋体"/>
                <w:szCs w:val="21"/>
              </w:rPr>
              <w:t>技术部分</w:t>
            </w:r>
          </w:p>
          <w:p>
            <w:pPr>
              <w:jc w:val="center"/>
              <w:rPr>
                <w:rFonts w:ascii="宋体" w:hAnsi="宋体" w:eastAsia="宋体" w:cs="宋体"/>
                <w:szCs w:val="21"/>
              </w:rPr>
            </w:pPr>
            <w:r>
              <w:rPr>
                <w:rFonts w:hint="eastAsia" w:ascii="宋体" w:hAnsi="宋体" w:eastAsia="宋体" w:cs="宋体"/>
                <w:szCs w:val="21"/>
              </w:rPr>
              <w:t>（8</w:t>
            </w:r>
            <w:r>
              <w:rPr>
                <w:rFonts w:ascii="宋体" w:hAnsi="宋体" w:eastAsia="宋体" w:cs="宋体"/>
                <w:szCs w:val="21"/>
              </w:rPr>
              <w:t>0</w:t>
            </w:r>
            <w:r>
              <w:rPr>
                <w:rFonts w:hint="eastAsia" w:ascii="宋体" w:hAnsi="宋体" w:eastAsia="宋体" w:cs="宋体"/>
                <w:szCs w:val="21"/>
              </w:rPr>
              <w:t>分）</w:t>
            </w:r>
          </w:p>
        </w:tc>
        <w:tc>
          <w:tcPr>
            <w:tcW w:w="1276" w:type="dxa"/>
            <w:vAlign w:val="center"/>
          </w:tcPr>
          <w:p>
            <w:pPr>
              <w:tabs>
                <w:tab w:val="left" w:pos="1800"/>
              </w:tabs>
              <w:jc w:val="center"/>
              <w:rPr>
                <w:rFonts w:ascii="宋体" w:hAnsi="宋体" w:eastAsia="宋体" w:cs="Times New Roman"/>
                <w:szCs w:val="21"/>
              </w:rPr>
            </w:pPr>
            <w:r>
              <w:rPr>
                <w:rFonts w:ascii="宋体" w:hAnsi="宋体" w:eastAsia="宋体" w:cs="Times New Roman"/>
                <w:szCs w:val="21"/>
              </w:rPr>
              <w:t>项目经理</w:t>
            </w:r>
          </w:p>
        </w:tc>
        <w:tc>
          <w:tcPr>
            <w:tcW w:w="5239" w:type="dxa"/>
            <w:vAlign w:val="center"/>
          </w:tcPr>
          <w:p>
            <w:pPr>
              <w:widowControl/>
              <w:tabs>
                <w:tab w:val="left" w:pos="1800"/>
              </w:tabs>
              <w:jc w:val="left"/>
              <w:rPr>
                <w:rFonts w:ascii="宋体" w:hAnsi="宋体" w:eastAsia="宋体" w:cs="Times New Roman"/>
                <w:szCs w:val="21"/>
              </w:rPr>
            </w:pPr>
            <w:r>
              <w:rPr>
                <w:rFonts w:hint="eastAsia" w:ascii="宋体" w:hAnsi="宋体" w:eastAsia="宋体" w:cs="Times New Roman"/>
                <w:szCs w:val="21"/>
              </w:rPr>
              <w:t>根据投标人拟派项目经理实力进行评分，担任本项目的项目经理需同时满足如下条件：</w:t>
            </w:r>
          </w:p>
          <w:p>
            <w:pPr>
              <w:widowControl/>
              <w:tabs>
                <w:tab w:val="left" w:pos="1800"/>
              </w:tabs>
              <w:jc w:val="left"/>
              <w:rPr>
                <w:rFonts w:ascii="宋体" w:hAnsi="宋体" w:eastAsia="宋体" w:cs="Times New Roman"/>
                <w:szCs w:val="21"/>
              </w:rPr>
            </w:pPr>
            <w:r>
              <w:rPr>
                <w:rFonts w:hint="eastAsia" w:ascii="宋体" w:hAnsi="宋体" w:eastAsia="宋体"/>
              </w:rPr>
              <w:t>①</w:t>
            </w:r>
            <w:r>
              <w:rPr>
                <w:rFonts w:hint="eastAsia" w:ascii="宋体" w:hAnsi="宋体" w:eastAsia="宋体" w:cs="Times New Roman"/>
                <w:szCs w:val="21"/>
              </w:rPr>
              <w:t>具备本科及以上学历；</w:t>
            </w:r>
          </w:p>
          <w:p>
            <w:pPr>
              <w:widowControl/>
              <w:tabs>
                <w:tab w:val="left" w:pos="1800"/>
              </w:tabs>
              <w:jc w:val="left"/>
              <w:rPr>
                <w:rFonts w:ascii="宋体" w:hAnsi="宋体" w:eastAsia="宋体" w:cs="Times New Roman"/>
                <w:szCs w:val="21"/>
              </w:rPr>
            </w:pPr>
            <w:r>
              <w:rPr>
                <w:rFonts w:hint="eastAsia" w:ascii="宋体" w:hAnsi="宋体" w:eastAsia="宋体"/>
              </w:rPr>
              <w:t>②</w:t>
            </w:r>
            <w:r>
              <w:rPr>
                <w:rFonts w:hint="eastAsia" w:ascii="宋体" w:hAnsi="宋体" w:eastAsia="宋体" w:cs="Times New Roman"/>
                <w:szCs w:val="21"/>
              </w:rPr>
              <w:t>具备7年及以上工作经验（以毕业证书时间作为起始日期计算）；</w:t>
            </w:r>
          </w:p>
          <w:p>
            <w:pPr>
              <w:widowControl/>
              <w:tabs>
                <w:tab w:val="left" w:pos="1800"/>
              </w:tabs>
              <w:jc w:val="left"/>
              <w:rPr>
                <w:rFonts w:ascii="宋体" w:hAnsi="宋体" w:eastAsia="宋体" w:cs="Times New Roman"/>
                <w:szCs w:val="21"/>
              </w:rPr>
            </w:pPr>
            <w:r>
              <w:rPr>
                <w:rFonts w:hint="eastAsia" w:ascii="宋体" w:hAnsi="宋体" w:eastAsia="宋体"/>
              </w:rPr>
              <w:t>③</w:t>
            </w:r>
            <w:r>
              <w:rPr>
                <w:rFonts w:hint="eastAsia" w:ascii="宋体" w:hAnsi="宋体" w:eastAsia="宋体" w:cs="Times New Roman"/>
                <w:szCs w:val="21"/>
              </w:rPr>
              <w:t>具备高级信息系统项目管理师证书或PMP认证证书。</w:t>
            </w:r>
          </w:p>
          <w:p>
            <w:pPr>
              <w:widowControl/>
              <w:tabs>
                <w:tab w:val="left" w:pos="1800"/>
              </w:tabs>
              <w:jc w:val="left"/>
              <w:rPr>
                <w:rFonts w:ascii="宋体" w:hAnsi="宋体" w:eastAsia="宋体" w:cs="Times New Roman"/>
                <w:szCs w:val="21"/>
              </w:rPr>
            </w:pPr>
            <w:r>
              <w:rPr>
                <w:rFonts w:hint="eastAsia" w:ascii="宋体" w:hAnsi="宋体" w:eastAsia="宋体" w:cs="Times New Roman"/>
                <w:szCs w:val="21"/>
              </w:rPr>
              <w:t>满足上述3项要求的得3分，一项不满足则该项不得分。</w:t>
            </w:r>
          </w:p>
          <w:p>
            <w:pPr>
              <w:tabs>
                <w:tab w:val="left" w:pos="1800"/>
              </w:tabs>
              <w:jc w:val="left"/>
              <w:rPr>
                <w:rFonts w:ascii="宋体" w:hAnsi="宋体" w:eastAsia="宋体" w:cs="Times New Roman"/>
                <w:szCs w:val="21"/>
              </w:rPr>
            </w:pPr>
            <w:r>
              <w:rPr>
                <w:rFonts w:hint="eastAsia" w:ascii="宋体" w:hAnsi="宋体" w:eastAsia="宋体" w:cs="Times New Roman"/>
                <w:szCs w:val="21"/>
              </w:rPr>
              <w:t>注：须提供项目经理身份证复印件、学历及资质证书复印件、开标前半年内任意1个月在本单位缴纳社保的证明材料，并加盖投标人公章，否则评审时不予认可，证明材料不完备不得分。</w:t>
            </w:r>
          </w:p>
        </w:tc>
        <w:tc>
          <w:tcPr>
            <w:tcW w:w="681" w:type="dxa"/>
            <w:vAlign w:val="center"/>
          </w:tcPr>
          <w:p>
            <w:pPr>
              <w:tabs>
                <w:tab w:val="left" w:pos="1800"/>
              </w:tabs>
              <w:jc w:val="center"/>
              <w:rPr>
                <w:rFonts w:ascii="宋体" w:hAnsi="宋体" w:eastAsia="宋体" w:cs="宋体"/>
                <w:szCs w:val="21"/>
              </w:rPr>
            </w:pPr>
            <w:r>
              <w:rPr>
                <w:rFonts w:hint="eastAsia"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ascii="宋体" w:hAnsi="宋体" w:eastAsia="宋体" w:cs="Times New Roman"/>
                <w:szCs w:val="21"/>
              </w:rPr>
              <w:t>服务团队</w:t>
            </w:r>
          </w:p>
        </w:tc>
        <w:tc>
          <w:tcPr>
            <w:tcW w:w="5239" w:type="dxa"/>
            <w:vAlign w:val="center"/>
          </w:tcPr>
          <w:p>
            <w:pPr>
              <w:tabs>
                <w:tab w:val="left" w:pos="1800"/>
              </w:tabs>
              <w:jc w:val="left"/>
              <w:rPr>
                <w:rFonts w:ascii="宋体" w:hAnsi="宋体" w:eastAsia="宋体" w:cs="Times New Roman"/>
                <w:szCs w:val="21"/>
              </w:rPr>
            </w:pPr>
            <w:r>
              <w:rPr>
                <w:rFonts w:hint="eastAsia" w:ascii="宋体" w:hAnsi="宋体" w:eastAsia="宋体" w:cs="Times New Roman"/>
                <w:szCs w:val="21"/>
              </w:rPr>
              <w:t>根据投标人拟派本项目服务团队人员进行评分，拟派主要技术管理人员（除项目经理除外）须≥10人，拟派主要技术管理人员＜10人的此项不得分。</w:t>
            </w:r>
          </w:p>
          <w:p>
            <w:pPr>
              <w:tabs>
                <w:tab w:val="left" w:pos="1800"/>
              </w:tabs>
              <w:jc w:val="left"/>
              <w:rPr>
                <w:rFonts w:ascii="宋体" w:hAnsi="宋体" w:eastAsia="宋体" w:cs="Times New Roman"/>
                <w:szCs w:val="21"/>
              </w:rPr>
            </w:pPr>
            <w:r>
              <w:rPr>
                <w:rFonts w:hint="eastAsia" w:ascii="宋体" w:hAnsi="宋体" w:eastAsia="宋体" w:cs="Times New Roman"/>
                <w:szCs w:val="21"/>
              </w:rPr>
              <w:t>资质情况需满足：</w:t>
            </w:r>
          </w:p>
          <w:p>
            <w:pPr>
              <w:tabs>
                <w:tab w:val="left" w:pos="1800"/>
              </w:tabs>
              <w:jc w:val="left"/>
              <w:rPr>
                <w:rFonts w:ascii="宋体" w:hAnsi="宋体" w:eastAsia="宋体" w:cs="Times New Roman"/>
                <w:szCs w:val="21"/>
              </w:rPr>
            </w:pPr>
            <w:r>
              <w:rPr>
                <w:rFonts w:hint="eastAsia" w:ascii="宋体" w:hAnsi="宋体" w:eastAsia="宋体"/>
              </w:rPr>
              <w:t>①</w:t>
            </w:r>
            <w:r>
              <w:rPr>
                <w:rFonts w:hint="eastAsia" w:ascii="宋体" w:hAnsi="宋体" w:eastAsia="宋体" w:cs="Times New Roman"/>
                <w:szCs w:val="21"/>
              </w:rPr>
              <w:t>具备高级系统架构设计师认证证书≥1人；</w:t>
            </w:r>
          </w:p>
          <w:p>
            <w:pPr>
              <w:tabs>
                <w:tab w:val="left" w:pos="1800"/>
              </w:tabs>
              <w:jc w:val="left"/>
              <w:rPr>
                <w:rFonts w:ascii="宋体" w:hAnsi="宋体" w:eastAsia="宋体" w:cs="Times New Roman"/>
                <w:szCs w:val="21"/>
              </w:rPr>
            </w:pPr>
            <w:r>
              <w:rPr>
                <w:rFonts w:hint="eastAsia" w:ascii="宋体" w:hAnsi="宋体" w:eastAsia="宋体"/>
              </w:rPr>
              <w:t>②</w:t>
            </w:r>
            <w:r>
              <w:rPr>
                <w:rFonts w:hint="eastAsia" w:ascii="宋体" w:hAnsi="宋体" w:eastAsia="宋体" w:cs="Times New Roman"/>
                <w:szCs w:val="21"/>
              </w:rPr>
              <w:t>具备高级系统分析师认证证书≥1人；</w:t>
            </w:r>
          </w:p>
          <w:p>
            <w:pPr>
              <w:tabs>
                <w:tab w:val="left" w:pos="1800"/>
              </w:tabs>
              <w:jc w:val="left"/>
              <w:rPr>
                <w:rFonts w:ascii="宋体" w:hAnsi="宋体" w:eastAsia="宋体" w:cs="Times New Roman"/>
                <w:szCs w:val="21"/>
              </w:rPr>
            </w:pPr>
            <w:r>
              <w:rPr>
                <w:rFonts w:hint="eastAsia" w:ascii="宋体" w:hAnsi="宋体" w:eastAsia="宋体"/>
              </w:rPr>
              <w:t>③</w:t>
            </w:r>
            <w:r>
              <w:rPr>
                <w:rFonts w:hint="eastAsia" w:ascii="宋体" w:hAnsi="宋体" w:eastAsia="宋体" w:cs="Times New Roman"/>
                <w:szCs w:val="21"/>
              </w:rPr>
              <w:t>具备高级软件架构师认证证书≥1人；</w:t>
            </w:r>
          </w:p>
          <w:p>
            <w:pPr>
              <w:tabs>
                <w:tab w:val="left" w:pos="1800"/>
              </w:tabs>
              <w:jc w:val="left"/>
              <w:rPr>
                <w:rFonts w:ascii="宋体" w:hAnsi="宋体" w:eastAsia="宋体" w:cs="Times New Roman"/>
                <w:szCs w:val="21"/>
              </w:rPr>
            </w:pPr>
            <w:r>
              <w:rPr>
                <w:rFonts w:hint="eastAsia" w:ascii="宋体" w:hAnsi="宋体" w:eastAsia="宋体"/>
              </w:rPr>
              <w:t>④</w:t>
            </w:r>
            <w:r>
              <w:rPr>
                <w:rFonts w:hint="eastAsia" w:ascii="宋体" w:hAnsi="宋体" w:eastAsia="宋体" w:cs="Times New Roman"/>
                <w:szCs w:val="21"/>
              </w:rPr>
              <w:t>高级信息系统项目管理师认证证书≥1人。</w:t>
            </w:r>
          </w:p>
          <w:p>
            <w:pPr>
              <w:tabs>
                <w:tab w:val="left" w:pos="1800"/>
              </w:tabs>
              <w:jc w:val="left"/>
              <w:rPr>
                <w:rFonts w:ascii="宋体" w:hAnsi="宋体" w:eastAsia="宋体" w:cs="Times New Roman"/>
                <w:szCs w:val="21"/>
              </w:rPr>
            </w:pPr>
            <w:r>
              <w:rPr>
                <w:rFonts w:hint="eastAsia" w:ascii="宋体" w:hAnsi="宋体" w:eastAsia="宋体" w:cs="Times New Roman"/>
                <w:szCs w:val="21"/>
              </w:rPr>
              <w:t>以上证书每提供一项得1，最多得4分。同一技术人员具备多个证书按照一个计算，不重复计分。</w:t>
            </w:r>
          </w:p>
          <w:p>
            <w:pPr>
              <w:tabs>
                <w:tab w:val="left" w:pos="1800"/>
              </w:tabs>
              <w:jc w:val="left"/>
              <w:rPr>
                <w:rFonts w:ascii="宋体" w:hAnsi="宋体" w:eastAsia="宋体" w:cs="Times New Roman"/>
                <w:szCs w:val="21"/>
              </w:rPr>
            </w:pPr>
            <w:r>
              <w:rPr>
                <w:rFonts w:hint="eastAsia" w:ascii="宋体" w:hAnsi="宋体" w:eastAsia="宋体"/>
              </w:rPr>
              <w:t>⑤</w:t>
            </w:r>
            <w:r>
              <w:rPr>
                <w:rFonts w:hint="eastAsia" w:ascii="宋体" w:hAnsi="宋体" w:eastAsia="宋体" w:cs="Times New Roman"/>
                <w:szCs w:val="21"/>
              </w:rPr>
              <w:t>具有Cassandra数据库开发经验；</w:t>
            </w:r>
          </w:p>
          <w:p>
            <w:pPr>
              <w:tabs>
                <w:tab w:val="left" w:pos="1800"/>
              </w:tabs>
              <w:jc w:val="left"/>
              <w:rPr>
                <w:rFonts w:ascii="宋体" w:hAnsi="宋体" w:eastAsia="宋体" w:cs="Times New Roman"/>
                <w:szCs w:val="21"/>
              </w:rPr>
            </w:pPr>
            <w:r>
              <w:rPr>
                <w:rFonts w:hint="eastAsia" w:ascii="宋体" w:hAnsi="宋体" w:eastAsia="宋体" w:cs="Times New Roman"/>
                <w:szCs w:val="21"/>
              </w:rPr>
              <w:t>提供使用Cassandra数据库项目产品的软件著作权证书及投标单位出具的工程师参与项目证明文件得1分，未提供或不满足不得分。</w:t>
            </w:r>
          </w:p>
          <w:p>
            <w:pPr>
              <w:tabs>
                <w:tab w:val="left" w:pos="1800"/>
              </w:tabs>
              <w:jc w:val="left"/>
              <w:rPr>
                <w:rFonts w:ascii="宋体" w:hAnsi="宋体" w:eastAsia="宋体" w:cs="Times New Roman"/>
                <w:szCs w:val="21"/>
              </w:rPr>
            </w:pPr>
            <w:r>
              <w:rPr>
                <w:rFonts w:hint="eastAsia" w:ascii="宋体" w:hAnsi="宋体" w:eastAsia="宋体" w:cs="Times New Roman"/>
                <w:szCs w:val="21"/>
              </w:rPr>
              <w:t>注：须提供拟派本项目服务团队人员身份证复印件、资质证书复印件、开标前半年内任意1个月在本单位缴纳社保的证明材料，并加盖投标人公章，否则评审时不予认可，证明材料不完备不得分。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数据与业务迁移服务</w:t>
            </w:r>
          </w:p>
        </w:tc>
        <w:tc>
          <w:tcPr>
            <w:tcW w:w="5239" w:type="dxa"/>
            <w:vAlign w:val="center"/>
          </w:tcPr>
          <w:p>
            <w:pPr>
              <w:tabs>
                <w:tab w:val="left" w:pos="1800"/>
              </w:tabs>
              <w:jc w:val="left"/>
              <w:rPr>
                <w:rFonts w:ascii="宋体" w:hAnsi="宋体" w:eastAsia="宋体" w:cs="Times New Roman"/>
                <w:szCs w:val="21"/>
              </w:rPr>
            </w:pPr>
            <w:r>
              <w:rPr>
                <w:rFonts w:hint="eastAsia" w:ascii="宋体" w:hAnsi="宋体" w:eastAsia="宋体" w:cs="Times New Roman"/>
                <w:szCs w:val="21"/>
              </w:rPr>
              <w:t>根据投标人提供现有系统与服务迁移到云平台的衔接、切换的服务方案，对现状了解清晰能够充分利用现有资源，在迁移过程中保证数据与服务的可靠和系统平稳过渡进行评分。服务方案内容全面，对现状了解清晰，迁移过程中保障措施合理并承诺提供服务得7分；服务方案内容满足项目要求，对现状基本了解，迁移过程中保障措施较合理并承诺提供服务得5分；服务方案内容欠缺，对现状了解不全面，迁移过程中保障措施完整得3分；服务方案内容欠缺，或未承诺提供服务得1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项目建设进度管理服务</w:t>
            </w:r>
          </w:p>
        </w:tc>
        <w:tc>
          <w:tcPr>
            <w:tcW w:w="5239" w:type="dxa"/>
            <w:vAlign w:val="center"/>
          </w:tcPr>
          <w:p>
            <w:pPr>
              <w:tabs>
                <w:tab w:val="left" w:pos="1800"/>
              </w:tabs>
              <w:jc w:val="left"/>
              <w:rPr>
                <w:rFonts w:ascii="宋体" w:hAnsi="宋体" w:eastAsia="宋体" w:cs="Times New Roman"/>
                <w:szCs w:val="21"/>
              </w:rPr>
            </w:pPr>
            <w:r>
              <w:rPr>
                <w:rFonts w:hint="eastAsia" w:ascii="宋体" w:hAnsi="宋体" w:eastAsia="宋体" w:cs="Times New Roman"/>
                <w:szCs w:val="21"/>
              </w:rPr>
              <w:t>根据投标人提供针对本项目的项目建设进度提供管理服务，包括项目人员安排、时间节点、事务的安排等进行评分。服务方案内容完整，人员安排合理、时间节点科学得7分；服务方案内容较完整、人数安排较合理、时间节点较科学得5分；服务方案内容一般完整、时间安排科学得3分；服务方案内容不完整得1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采购需求指标响应情况</w:t>
            </w:r>
          </w:p>
        </w:tc>
        <w:tc>
          <w:tcPr>
            <w:tcW w:w="5239" w:type="dxa"/>
            <w:vAlign w:val="center"/>
          </w:tcPr>
          <w:p>
            <w:pPr>
              <w:tabs>
                <w:tab w:val="left" w:pos="1800"/>
              </w:tabs>
              <w:jc w:val="left"/>
              <w:rPr>
                <w:rFonts w:ascii="宋体" w:hAnsi="宋体" w:eastAsia="宋体" w:cs="Times New Roman"/>
                <w:szCs w:val="21"/>
              </w:rPr>
            </w:pPr>
            <w:r>
              <w:rPr>
                <w:rFonts w:ascii="宋体" w:hAnsi="宋体" w:eastAsia="宋体" w:cs="Times New Roman"/>
                <w:szCs w:val="21"/>
              </w:rPr>
              <w:t>根据投标人响应</w:t>
            </w:r>
            <w:r>
              <w:rPr>
                <w:rFonts w:hint="eastAsia" w:ascii="宋体" w:hAnsi="宋体" w:eastAsia="宋体" w:cs="Times New Roman"/>
                <w:szCs w:val="21"/>
              </w:rPr>
              <w:t>“▲”及“#”指标情况进行打分。以投标人提供的有效证明材料为审核依据（投标人须提供包含相关指标项的证明材料，证明材料包括但不限于相关资质证书、生产厂家官方网站截图、产品白皮书、第三方机构检验报告、原厂对系统功能的承诺函、原厂商授权函或其他相关证明材料，并加盖投标人公章，未提供有效证明材料或证明材料中内容与所填报指标不一致的，该指标按不满足处理）全部指标无偏离或正偏离响应得满分，每有一项“▲”负偏离扣2分，最多扣20分。每有一项“#”负偏离扣1分，最多扣20分。负偏离指标共计超过20项按无效投标处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数据库服务解决方案</w:t>
            </w:r>
          </w:p>
        </w:tc>
        <w:tc>
          <w:tcPr>
            <w:tcW w:w="5239" w:type="dxa"/>
            <w:vAlign w:val="center"/>
          </w:tcPr>
          <w:p>
            <w:pPr>
              <w:tabs>
                <w:tab w:val="left" w:pos="1800"/>
              </w:tabs>
              <w:jc w:val="left"/>
              <w:rPr>
                <w:rFonts w:ascii="宋体" w:hAnsi="宋体" w:eastAsia="宋体" w:cs="Times New Roman"/>
                <w:szCs w:val="21"/>
              </w:rPr>
            </w:pPr>
            <w:r>
              <w:rPr>
                <w:rFonts w:hint="eastAsia" w:ascii="宋体" w:hAnsi="宋体" w:eastAsia="宋体" w:cs="Times New Roman"/>
                <w:szCs w:val="21"/>
              </w:rPr>
              <w:t>根据投标人提供的数据库解决方案符合客户需求、部署架构、安全架构、数据结构规划合理，方案完整、功能完善，数据库可扩展性强、稳定性强，易维护，能提供针对Cassandra数据库PaaS服务方向的比较全面的设计和描述等进行评分。投标人提供的数据库解决方案为提供全面的Cassandra PaaS能力，且技术方案实现功能合理，完全满足需求得6分；投标人提供的数据库解决方案为提供全面的Cassandra PaaS能力，但部分指标不满足得4分；投标人提供的数据库解决方案为提供裸金属服务器支持Cassandra数据库能力，且方案完整，裸金属服务器配置高于标准配置，功能完善得2分；投标人提供的数据库解决方案为提供裸金属服务器支持Cassandra数据库能力，且方案较完整，裸金属服务器配置符合标准配置，功能较完善得1分；投标人不能提供Cassandra PaaS能力，也无高性能裸金属服务器部署环境，只能提供IaaS服务的得0分；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互联网加速服务技术</w:t>
            </w:r>
          </w:p>
        </w:tc>
        <w:tc>
          <w:tcPr>
            <w:tcW w:w="5239" w:type="dxa"/>
            <w:vAlign w:val="center"/>
          </w:tcPr>
          <w:p>
            <w:pPr>
              <w:tabs>
                <w:tab w:val="left" w:pos="1800"/>
              </w:tabs>
              <w:jc w:val="left"/>
              <w:rPr>
                <w:rFonts w:ascii="宋体" w:hAnsi="宋体" w:eastAsia="宋体" w:cs="Times New Roman"/>
                <w:szCs w:val="21"/>
              </w:rPr>
            </w:pPr>
            <w:bookmarkStart w:id="87" w:name="RANGE!C47"/>
            <w:r>
              <w:rPr>
                <w:rFonts w:hint="eastAsia" w:ascii="宋体" w:hAnsi="宋体" w:eastAsia="宋体" w:cs="Times New Roman"/>
                <w:szCs w:val="21"/>
              </w:rPr>
              <w:t>根据投标人的互联网加速服务技术指标进行评分。</w:t>
            </w:r>
            <w:bookmarkEnd w:id="87"/>
            <w:r>
              <w:rPr>
                <w:rFonts w:hint="eastAsia" w:ascii="宋体" w:hAnsi="宋体" w:eastAsia="宋体" w:cs="Times New Roman"/>
                <w:szCs w:val="21"/>
              </w:rPr>
              <w:t>投标人提供的互联网加速服务解决方案完全满足需求，方案合理，内容全面，所覆盖得海外节点完全符合需求得6分；投标人提供的互联网加速服务解决方案较合理，基本满足要求，覆盖海外节点完全符合需求得4分；投标人提供的互联网加速服务解决方案较合理，可满足部分要求，海外节点部分符合需求得2分；投标人提供的互联网加速服务解决方案不满足要求，或无法提供网络加速服务得1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Merge w:val="continue"/>
            <w:vAlign w:val="center"/>
          </w:tcPr>
          <w:p>
            <w:pPr>
              <w:jc w:val="center"/>
              <w:rPr>
                <w:rFonts w:ascii="宋体" w:hAnsi="宋体" w:eastAsia="宋体" w:cs="宋体"/>
                <w:szCs w:val="21"/>
              </w:rPr>
            </w:pPr>
          </w:p>
        </w:tc>
        <w:tc>
          <w:tcPr>
            <w:tcW w:w="1276" w:type="dxa"/>
            <w:vAlign w:val="center"/>
          </w:tcPr>
          <w:p>
            <w:pPr>
              <w:tabs>
                <w:tab w:val="left" w:pos="1800"/>
              </w:tabs>
              <w:jc w:val="center"/>
              <w:rPr>
                <w:rFonts w:ascii="宋体" w:hAnsi="宋体" w:eastAsia="宋体" w:cs="Times New Roman"/>
                <w:szCs w:val="21"/>
              </w:rPr>
            </w:pPr>
            <w:r>
              <w:rPr>
                <w:rFonts w:hint="eastAsia" w:ascii="宋体" w:hAnsi="宋体" w:eastAsia="宋体" w:cs="Times New Roman"/>
                <w:szCs w:val="21"/>
              </w:rPr>
              <w:t>内外网数据安全交互技术指标</w:t>
            </w:r>
          </w:p>
        </w:tc>
        <w:tc>
          <w:tcPr>
            <w:tcW w:w="5239" w:type="dxa"/>
            <w:vAlign w:val="center"/>
          </w:tcPr>
          <w:p>
            <w:pPr>
              <w:tabs>
                <w:tab w:val="left" w:pos="1800"/>
              </w:tabs>
              <w:jc w:val="left"/>
              <w:rPr>
                <w:rFonts w:ascii="宋体" w:hAnsi="宋体" w:eastAsia="宋体" w:cs="Times New Roman"/>
                <w:szCs w:val="21"/>
              </w:rPr>
            </w:pPr>
            <w:r>
              <w:rPr>
                <w:rFonts w:hint="eastAsia" w:ascii="宋体" w:hAnsi="宋体" w:eastAsia="宋体" w:cs="Times New Roman"/>
                <w:szCs w:val="21"/>
              </w:rPr>
              <w:t>根据投标人的内外网数据安全交互技术指标进行评分。投标人提供的数据交互方案完全满足需求，内容全面，方案合理，安全合规，无单点故障，可以支持弹性扩展，得6分；投标人提供的数据交互方案可以满足基本数据交互需求，安全合规，得4分；投标人提供的数据交互方案基本满足基本数据交互需求，得2分；投标人提供的数据交互方案不满足需求得1分。</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59" w:type="dxa"/>
            <w:vAlign w:val="center"/>
          </w:tcPr>
          <w:p>
            <w:pPr>
              <w:jc w:val="center"/>
              <w:rPr>
                <w:rFonts w:ascii="宋体" w:hAnsi="宋体" w:eastAsia="宋体" w:cs="Times New Roman"/>
                <w:szCs w:val="21"/>
              </w:rPr>
            </w:pPr>
            <w:r>
              <w:rPr>
                <w:rFonts w:hint="eastAsia" w:ascii="宋体" w:hAnsi="宋体" w:eastAsia="宋体" w:cs="Times New Roman"/>
                <w:szCs w:val="21"/>
              </w:rPr>
              <w:t>（三）</w:t>
            </w:r>
          </w:p>
          <w:p>
            <w:pPr>
              <w:jc w:val="center"/>
              <w:rPr>
                <w:rFonts w:ascii="宋体" w:hAnsi="宋体" w:eastAsia="宋体" w:cs="宋体"/>
                <w:szCs w:val="21"/>
              </w:rPr>
            </w:pPr>
            <w:r>
              <w:rPr>
                <w:rFonts w:hint="eastAsia" w:ascii="宋体" w:hAnsi="宋体" w:eastAsia="宋体" w:cs="宋体"/>
                <w:szCs w:val="21"/>
              </w:rPr>
              <w:t>价格部分</w:t>
            </w:r>
          </w:p>
          <w:p>
            <w:pPr>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r>
              <w:rPr>
                <w:rFonts w:hint="eastAsia" w:ascii="宋体" w:hAnsi="宋体" w:eastAsia="宋体" w:cs="宋体"/>
                <w:szCs w:val="21"/>
              </w:rPr>
              <w:t>分）</w:t>
            </w:r>
          </w:p>
        </w:tc>
        <w:tc>
          <w:tcPr>
            <w:tcW w:w="1276" w:type="dxa"/>
            <w:vAlign w:val="center"/>
          </w:tcPr>
          <w:p>
            <w:pPr>
              <w:jc w:val="center"/>
              <w:rPr>
                <w:rFonts w:ascii="宋体" w:hAnsi="宋体" w:eastAsia="宋体" w:cs="Times New Roman"/>
                <w:szCs w:val="21"/>
              </w:rPr>
            </w:pPr>
            <w:r>
              <w:rPr>
                <w:rFonts w:hint="eastAsia" w:ascii="宋体" w:hAnsi="宋体" w:eastAsia="宋体" w:cs="Times New Roman"/>
                <w:szCs w:val="21"/>
              </w:rPr>
              <w:t>价格权重</w:t>
            </w:r>
          </w:p>
        </w:tc>
        <w:tc>
          <w:tcPr>
            <w:tcW w:w="5239" w:type="dxa"/>
            <w:vAlign w:val="center"/>
          </w:tcPr>
          <w:p>
            <w:pPr>
              <w:jc w:val="left"/>
              <w:rPr>
                <w:rFonts w:ascii="宋体" w:hAnsi="宋体" w:eastAsia="宋体" w:cs="Times New Roman"/>
                <w:szCs w:val="21"/>
              </w:rPr>
            </w:pPr>
            <w:r>
              <w:rPr>
                <w:rFonts w:hint="eastAsia" w:ascii="宋体" w:hAnsi="宋体" w:eastAsia="宋体" w:cs="Times New Roman"/>
                <w:szCs w:val="21"/>
              </w:rPr>
              <w:t>价格得分的计算：</w:t>
            </w:r>
          </w:p>
          <w:p>
            <w:pPr>
              <w:jc w:val="left"/>
              <w:rPr>
                <w:rFonts w:ascii="宋体" w:hAnsi="宋体" w:eastAsia="宋体" w:cs="Times New Roman"/>
                <w:szCs w:val="21"/>
              </w:rPr>
            </w:pPr>
            <w:r>
              <w:rPr>
                <w:rFonts w:hint="eastAsia" w:ascii="宋体" w:hAnsi="宋体" w:eastAsia="宋体" w:cs="Times New Roman"/>
                <w:szCs w:val="21"/>
              </w:rPr>
              <w:t>本项目价格权重为：1</w:t>
            </w:r>
            <w:r>
              <w:rPr>
                <w:rFonts w:ascii="宋体" w:hAnsi="宋体" w:eastAsia="宋体" w:cs="Times New Roman"/>
                <w:szCs w:val="21"/>
              </w:rPr>
              <w:t>0</w:t>
            </w:r>
            <w:r>
              <w:rPr>
                <w:rFonts w:hint="eastAsia" w:ascii="宋体" w:hAnsi="宋体" w:eastAsia="宋体" w:cs="Times New Roman"/>
                <w:szCs w:val="21"/>
              </w:rPr>
              <w:t>分</w:t>
            </w:r>
          </w:p>
          <w:p>
            <w:pPr>
              <w:jc w:val="left"/>
              <w:rPr>
                <w:rFonts w:ascii="宋体" w:hAnsi="宋体" w:eastAsia="宋体" w:cs="Times New Roman"/>
                <w:szCs w:val="21"/>
              </w:rPr>
            </w:pPr>
            <w:r>
              <w:rPr>
                <w:rFonts w:hint="eastAsia" w:ascii="宋体" w:hAnsi="宋体" w:eastAsia="宋体" w:cs="Times New Roman"/>
                <w:szCs w:val="21"/>
              </w:rPr>
              <w:t>投标人报价得分的计算采用低价优先法，按如下公式进行计算：</w:t>
            </w:r>
          </w:p>
          <w:p>
            <w:pPr>
              <w:jc w:val="left"/>
              <w:rPr>
                <w:rFonts w:ascii="宋体" w:hAnsi="宋体" w:eastAsia="宋体" w:cs="Times New Roman"/>
                <w:szCs w:val="21"/>
              </w:rPr>
            </w:pPr>
            <w:r>
              <w:rPr>
                <w:rFonts w:hint="eastAsia" w:ascii="宋体" w:hAnsi="宋体" w:eastAsia="宋体" w:cs="Times New Roman"/>
                <w:szCs w:val="21"/>
              </w:rPr>
              <w:t>投标人报价得分=（满足招标文件要求且响应价格最低的投标人评标价/投标人评标价）×价格权重</w:t>
            </w:r>
          </w:p>
          <w:p>
            <w:pPr>
              <w:widowControl/>
              <w:jc w:val="left"/>
              <w:rPr>
                <w:rFonts w:ascii="宋体" w:hAnsi="宋体" w:eastAsia="宋体" w:cs="Times New Roman"/>
                <w:szCs w:val="24"/>
              </w:rPr>
            </w:pPr>
            <w:r>
              <w:rPr>
                <w:rFonts w:hint="eastAsia" w:ascii="宋体" w:hAnsi="宋体" w:eastAsia="宋体" w:cs="Times New Roman"/>
                <w:szCs w:val="21"/>
              </w:rPr>
              <w:t>投标人报价为所投包次中全部产品的单价合计。</w:t>
            </w:r>
          </w:p>
          <w:p>
            <w:pPr>
              <w:jc w:val="left"/>
              <w:rPr>
                <w:rFonts w:ascii="宋体" w:hAnsi="宋体" w:eastAsia="宋体" w:cs="Times New Roman"/>
                <w:szCs w:val="21"/>
              </w:rPr>
            </w:pPr>
            <w:r>
              <w:rPr>
                <w:rFonts w:hint="eastAsia" w:ascii="宋体" w:hAnsi="宋体" w:eastAsia="宋体" w:cs="Times New Roman"/>
                <w:szCs w:val="21"/>
              </w:rPr>
              <w:t>注：投标人评标价为根据《投标人须知》23.3条规定调整后的响应报价。</w:t>
            </w:r>
          </w:p>
        </w:tc>
        <w:tc>
          <w:tcPr>
            <w:tcW w:w="681" w:type="dxa"/>
            <w:vAlign w:val="center"/>
          </w:tcPr>
          <w:p>
            <w:pPr>
              <w:widowControl/>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435"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总分</w:t>
            </w:r>
          </w:p>
        </w:tc>
        <w:tc>
          <w:tcPr>
            <w:tcW w:w="5239" w:type="dxa"/>
            <w:vAlign w:val="center"/>
          </w:tcPr>
          <w:p>
            <w:pPr>
              <w:jc w:val="center"/>
              <w:rPr>
                <w:rFonts w:ascii="宋体" w:hAnsi="宋体" w:eastAsia="宋体" w:cs="Times New Roman"/>
                <w:szCs w:val="21"/>
              </w:rPr>
            </w:pPr>
            <w:r>
              <w:rPr>
                <w:rFonts w:hint="eastAsia" w:ascii="宋体" w:hAnsi="宋体" w:eastAsia="宋体" w:cs="Times New Roman"/>
                <w:szCs w:val="21"/>
              </w:rPr>
              <w:t>(一)~(三)项得分之和，即为供应商的综合得分</w:t>
            </w:r>
          </w:p>
        </w:tc>
        <w:tc>
          <w:tcPr>
            <w:tcW w:w="681" w:type="dxa"/>
            <w:vAlign w:val="center"/>
          </w:tcPr>
          <w:p>
            <w:pPr>
              <w:widowControl/>
              <w:jc w:val="center"/>
              <w:rPr>
                <w:rFonts w:ascii="宋体" w:hAnsi="宋体" w:eastAsia="宋体" w:cs="宋体"/>
                <w:szCs w:val="21"/>
              </w:rPr>
            </w:pPr>
            <w:r>
              <w:rPr>
                <w:rFonts w:ascii="宋体" w:hAnsi="宋体" w:eastAsia="宋体" w:cs="宋体"/>
                <w:szCs w:val="21"/>
              </w:rPr>
              <w:fldChar w:fldCharType="begin"/>
            </w:r>
            <w:r>
              <w:rPr>
                <w:rFonts w:ascii="宋体" w:hAnsi="宋体" w:eastAsia="宋体" w:cs="宋体"/>
                <w:szCs w:val="21"/>
              </w:rPr>
              <w:instrText xml:space="preserve"> =SUM(ABOVE) </w:instrText>
            </w:r>
            <w:r>
              <w:rPr>
                <w:rFonts w:ascii="宋体" w:hAnsi="宋体" w:eastAsia="宋体" w:cs="宋体"/>
                <w:szCs w:val="21"/>
              </w:rPr>
              <w:fldChar w:fldCharType="separate"/>
            </w:r>
            <w:r>
              <w:rPr>
                <w:rFonts w:ascii="宋体" w:hAnsi="宋体" w:eastAsia="宋体" w:cs="宋体"/>
                <w:szCs w:val="21"/>
              </w:rPr>
              <w:t>100</w:t>
            </w:r>
            <w:r>
              <w:rPr>
                <w:rFonts w:ascii="宋体" w:hAnsi="宋体" w:eastAsia="宋体" w:cs="宋体"/>
                <w:szCs w:val="21"/>
              </w:rPr>
              <w:fldChar w:fldCharType="end"/>
            </w:r>
          </w:p>
        </w:tc>
      </w:tr>
    </w:tbl>
    <w:p>
      <w:pPr>
        <w:widowControl/>
        <w:jc w:val="lef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等线 Light">
    <w:altName w:val="宋体"/>
    <w:panose1 w:val="00000000000000000000"/>
    <w:charset w:val="86"/>
    <w:family w:val="auto"/>
    <w:pitch w:val="default"/>
    <w:sig w:usb0="00000000" w:usb1="00000000" w:usb2="00000016" w:usb3="00000000" w:csb0="0004000F" w:csb1="00000000"/>
  </w:font>
  <w:font w:name="Palatino Linotype">
    <w:panose1 w:val="02040502050505030304"/>
    <w:charset w:val="00"/>
    <w:family w:val="roman"/>
    <w:pitch w:val="default"/>
    <w:sig w:usb0="E0000287" w:usb1="40000013" w:usb2="00000000" w:usb3="00000000" w:csb0="2000019F" w:csb1="00000000"/>
  </w:font>
  <w:font w:name="Andalus">
    <w:panose1 w:val="02020603050405020304"/>
    <w:charset w:val="00"/>
    <w:family w:val="roman"/>
    <w:pitch w:val="default"/>
    <w:sig w:usb0="00002003" w:usb1="80000000" w:usb2="00000008" w:usb3="00000000" w:csb0="00000041" w:csb1="200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4999010"/>
    </w:sdtPr>
    <w:sdtEndPr>
      <w:rPr>
        <w:sz w:val="21"/>
      </w:rPr>
    </w:sdtEndPr>
    <w:sdtContent>
      <w:p>
        <w:pPr>
          <w:pStyle w:val="30"/>
          <w:jc w:val="center"/>
          <w:rPr>
            <w:sz w:val="21"/>
          </w:rPr>
        </w:pPr>
        <w:r>
          <w:rPr>
            <w:sz w:val="21"/>
          </w:rPr>
          <w:fldChar w:fldCharType="begin"/>
        </w:r>
        <w:r>
          <w:rPr>
            <w:sz w:val="21"/>
          </w:rPr>
          <w:instrText xml:space="preserve"> PAGE   \* MERGEFORMAT </w:instrText>
        </w:r>
        <w:r>
          <w:rPr>
            <w:sz w:val="21"/>
          </w:rPr>
          <w:fldChar w:fldCharType="separate"/>
        </w:r>
        <w:r>
          <w:rPr>
            <w:sz w:val="21"/>
            <w:lang w:val="zh-CN"/>
          </w:rPr>
          <w:t>41</w:t>
        </w:r>
        <w:r>
          <w:rPr>
            <w:sz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49"/>
    <w:multiLevelType w:val="multilevel"/>
    <w:tmpl w:val="0E230849"/>
    <w:lvl w:ilvl="0" w:tentative="0">
      <w:start w:val="1"/>
      <w:numFmt w:val="decimal"/>
      <w:pStyle w:val="210"/>
      <w:lvlText w:val="%1"/>
      <w:lvlJc w:val="left"/>
      <w:pPr>
        <w:ind w:left="680" w:hanging="680"/>
      </w:pPr>
      <w:rPr>
        <w:rFonts w:hint="eastAsia" w:ascii="宋体" w:hAnsi="宋体" w:eastAsia="宋体"/>
      </w:rPr>
    </w:lvl>
    <w:lvl w:ilvl="1" w:tentative="0">
      <w:start w:val="1"/>
      <w:numFmt w:val="decimal"/>
      <w:pStyle w:val="211"/>
      <w:lvlText w:val="%1.%2"/>
      <w:lvlJc w:val="left"/>
      <w:pPr>
        <w:ind w:left="851" w:hanging="851"/>
      </w:pPr>
      <w:rPr>
        <w:rFonts w:hint="eastAsia" w:ascii="宋体" w:hAnsi="宋体" w:eastAsia="宋体"/>
        <w:color w:val="auto"/>
      </w:rPr>
    </w:lvl>
    <w:lvl w:ilvl="2" w:tentative="0">
      <w:start w:val="1"/>
      <w:numFmt w:val="decimal"/>
      <w:pStyle w:val="212"/>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1">
    <w:nsid w:val="65D2788B"/>
    <w:multiLevelType w:val="multilevel"/>
    <w:tmpl w:val="65D2788B"/>
    <w:lvl w:ilvl="0" w:tentative="0">
      <w:start w:val="2"/>
      <w:numFmt w:val="bullet"/>
      <w:pStyle w:val="232"/>
      <w:lvlText w:val="-"/>
      <w:lvlJc w:val="left"/>
      <w:pPr>
        <w:ind w:left="840" w:hanging="420"/>
      </w:pPr>
      <w:rPr>
        <w:rFonts w:hint="eastAsia" w:ascii="宋体" w:hAnsi="宋体" w:eastAsia="宋体"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9122950"/>
    <w:multiLevelType w:val="multilevel"/>
    <w:tmpl w:val="69122950"/>
    <w:lvl w:ilvl="0" w:tentative="0">
      <w:start w:val="1"/>
      <w:numFmt w:val="decimal"/>
      <w:pStyle w:val="234"/>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D2075A6"/>
    <w:multiLevelType w:val="multilevel"/>
    <w:tmpl w:val="7D2075A6"/>
    <w:lvl w:ilvl="0" w:tentative="0">
      <w:start w:val="1"/>
      <w:numFmt w:val="decimal"/>
      <w:pStyle w:val="227"/>
      <w:lvlText w:val="图%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718C"/>
    <w:rsid w:val="00005AED"/>
    <w:rsid w:val="00012A2C"/>
    <w:rsid w:val="0004504C"/>
    <w:rsid w:val="0009249D"/>
    <w:rsid w:val="000B0A5F"/>
    <w:rsid w:val="00103A1D"/>
    <w:rsid w:val="001060EC"/>
    <w:rsid w:val="00140725"/>
    <w:rsid w:val="001662E9"/>
    <w:rsid w:val="00177FD8"/>
    <w:rsid w:val="00182627"/>
    <w:rsid w:val="00184473"/>
    <w:rsid w:val="0019123F"/>
    <w:rsid w:val="001C2246"/>
    <w:rsid w:val="00226448"/>
    <w:rsid w:val="002308E5"/>
    <w:rsid w:val="00237000"/>
    <w:rsid w:val="002443AF"/>
    <w:rsid w:val="00272E39"/>
    <w:rsid w:val="002B1DE5"/>
    <w:rsid w:val="002C2054"/>
    <w:rsid w:val="002E0020"/>
    <w:rsid w:val="0031150B"/>
    <w:rsid w:val="00370B84"/>
    <w:rsid w:val="0037423F"/>
    <w:rsid w:val="003B5703"/>
    <w:rsid w:val="003D6D99"/>
    <w:rsid w:val="004116DE"/>
    <w:rsid w:val="0041672D"/>
    <w:rsid w:val="00420528"/>
    <w:rsid w:val="00446E2C"/>
    <w:rsid w:val="004B5447"/>
    <w:rsid w:val="004D7ACE"/>
    <w:rsid w:val="00517BCE"/>
    <w:rsid w:val="00523B3B"/>
    <w:rsid w:val="0053212A"/>
    <w:rsid w:val="00547870"/>
    <w:rsid w:val="00553F06"/>
    <w:rsid w:val="00567DD9"/>
    <w:rsid w:val="00585B13"/>
    <w:rsid w:val="00592AE2"/>
    <w:rsid w:val="005A1D2D"/>
    <w:rsid w:val="006032A5"/>
    <w:rsid w:val="00651BC0"/>
    <w:rsid w:val="00672932"/>
    <w:rsid w:val="0069707F"/>
    <w:rsid w:val="006C0F74"/>
    <w:rsid w:val="006D55D0"/>
    <w:rsid w:val="006F17A8"/>
    <w:rsid w:val="0070643C"/>
    <w:rsid w:val="00780FE4"/>
    <w:rsid w:val="00783146"/>
    <w:rsid w:val="00790C51"/>
    <w:rsid w:val="007936BA"/>
    <w:rsid w:val="007B047E"/>
    <w:rsid w:val="007C3DD1"/>
    <w:rsid w:val="00800C2B"/>
    <w:rsid w:val="00804DB0"/>
    <w:rsid w:val="00881F24"/>
    <w:rsid w:val="00882FCF"/>
    <w:rsid w:val="008A3168"/>
    <w:rsid w:val="008C1F32"/>
    <w:rsid w:val="008D3895"/>
    <w:rsid w:val="008E4F3F"/>
    <w:rsid w:val="008F2615"/>
    <w:rsid w:val="008F4BA8"/>
    <w:rsid w:val="00901A37"/>
    <w:rsid w:val="00901EF4"/>
    <w:rsid w:val="00907F51"/>
    <w:rsid w:val="00954975"/>
    <w:rsid w:val="009728F0"/>
    <w:rsid w:val="009C6647"/>
    <w:rsid w:val="009F18FD"/>
    <w:rsid w:val="009F7CE2"/>
    <w:rsid w:val="00A42250"/>
    <w:rsid w:val="00A57905"/>
    <w:rsid w:val="00A81E1B"/>
    <w:rsid w:val="00AA06DA"/>
    <w:rsid w:val="00AB4BCC"/>
    <w:rsid w:val="00AE08D6"/>
    <w:rsid w:val="00B0370F"/>
    <w:rsid w:val="00B10C8D"/>
    <w:rsid w:val="00B14DCF"/>
    <w:rsid w:val="00B40234"/>
    <w:rsid w:val="00B402A3"/>
    <w:rsid w:val="00B42A45"/>
    <w:rsid w:val="00B53CF2"/>
    <w:rsid w:val="00B709B0"/>
    <w:rsid w:val="00B84CF1"/>
    <w:rsid w:val="00B87712"/>
    <w:rsid w:val="00B90CE7"/>
    <w:rsid w:val="00B94ACE"/>
    <w:rsid w:val="00B95C28"/>
    <w:rsid w:val="00BA1D6D"/>
    <w:rsid w:val="00BC6F96"/>
    <w:rsid w:val="00BF1077"/>
    <w:rsid w:val="00C7722F"/>
    <w:rsid w:val="00C91E1D"/>
    <w:rsid w:val="00CC7239"/>
    <w:rsid w:val="00CF1C09"/>
    <w:rsid w:val="00D229F5"/>
    <w:rsid w:val="00D471C7"/>
    <w:rsid w:val="00D916BC"/>
    <w:rsid w:val="00D9712A"/>
    <w:rsid w:val="00DA66BE"/>
    <w:rsid w:val="00DB2C01"/>
    <w:rsid w:val="00DC4D5D"/>
    <w:rsid w:val="00DE4970"/>
    <w:rsid w:val="00DF0B14"/>
    <w:rsid w:val="00DF3224"/>
    <w:rsid w:val="00E11A64"/>
    <w:rsid w:val="00E3718C"/>
    <w:rsid w:val="00E4141F"/>
    <w:rsid w:val="00E7430D"/>
    <w:rsid w:val="00E905A9"/>
    <w:rsid w:val="00E976AF"/>
    <w:rsid w:val="00EB7334"/>
    <w:rsid w:val="00EB73DC"/>
    <w:rsid w:val="00ED3E93"/>
    <w:rsid w:val="00F109E7"/>
    <w:rsid w:val="00F246A0"/>
    <w:rsid w:val="00F26262"/>
    <w:rsid w:val="00F305EF"/>
    <w:rsid w:val="00F34A9B"/>
    <w:rsid w:val="00F40605"/>
    <w:rsid w:val="00F76D9C"/>
    <w:rsid w:val="00F83E76"/>
    <w:rsid w:val="00F94049"/>
    <w:rsid w:val="00FC2688"/>
    <w:rsid w:val="00FD23A8"/>
    <w:rsid w:val="00FE1C59"/>
    <w:rsid w:val="00FF3A4F"/>
    <w:rsid w:val="2C25618E"/>
    <w:rsid w:val="4804728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nhideWhenUsed="0" w:uiPriority="0" w:semiHidden="0"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59"/>
    <w:qFormat/>
    <w:uiPriority w:val="9"/>
    <w:pPr>
      <w:keepNext/>
      <w:keepLines/>
      <w:autoSpaceDE w:val="0"/>
      <w:autoSpaceDN w:val="0"/>
      <w:adjustRightInd w:val="0"/>
      <w:spacing w:before="360" w:after="120"/>
      <w:jc w:val="left"/>
      <w:outlineLvl w:val="2"/>
    </w:pPr>
    <w:rPr>
      <w:rFonts w:ascii="宋体" w:hAnsi="Times New Roman" w:eastAsia="宋体" w:cs="Times New Roman"/>
      <w:b/>
      <w:kern w:val="0"/>
      <w:sz w:val="24"/>
      <w:szCs w:val="20"/>
      <w:u w:val="single"/>
    </w:rPr>
  </w:style>
  <w:style w:type="paragraph" w:styleId="6">
    <w:name w:val="heading 4"/>
    <w:basedOn w:val="1"/>
    <w:next w:val="1"/>
    <w:link w:val="60"/>
    <w:qFormat/>
    <w:uiPriority w:val="9"/>
    <w:pPr>
      <w:keepNext/>
      <w:keepLines/>
      <w:adjustRightInd w:val="0"/>
      <w:spacing w:before="280" w:after="290" w:line="376" w:lineRule="atLeast"/>
      <w:textAlignment w:val="baseline"/>
      <w:outlineLvl w:val="3"/>
    </w:pPr>
    <w:rPr>
      <w:rFonts w:ascii="Arial" w:hAnsi="Arial" w:eastAsia="黑体" w:cs="Times New Roman"/>
      <w:b/>
      <w:kern w:val="0"/>
      <w:sz w:val="28"/>
      <w:szCs w:val="20"/>
    </w:rPr>
  </w:style>
  <w:style w:type="paragraph" w:styleId="7">
    <w:name w:val="heading 5"/>
    <w:basedOn w:val="1"/>
    <w:next w:val="1"/>
    <w:link w:val="61"/>
    <w:qFormat/>
    <w:uiPriority w:val="9"/>
    <w:pPr>
      <w:keepNext/>
      <w:keepLines/>
      <w:adjustRightInd w:val="0"/>
      <w:spacing w:before="280" w:after="290" w:line="376" w:lineRule="atLeast"/>
      <w:textAlignment w:val="baseline"/>
      <w:outlineLvl w:val="4"/>
    </w:pPr>
    <w:rPr>
      <w:rFonts w:ascii="Times New Roman" w:hAnsi="Times New Roman" w:eastAsia="宋体" w:cs="Times New Roman"/>
      <w:b/>
      <w:kern w:val="0"/>
      <w:sz w:val="28"/>
      <w:szCs w:val="20"/>
    </w:rPr>
  </w:style>
  <w:style w:type="paragraph" w:styleId="8">
    <w:name w:val="heading 6"/>
    <w:basedOn w:val="1"/>
    <w:next w:val="1"/>
    <w:link w:val="62"/>
    <w:qFormat/>
    <w:uiPriority w:val="0"/>
    <w:pPr>
      <w:keepNext/>
      <w:keepLines/>
      <w:adjustRightInd w:val="0"/>
      <w:spacing w:before="240" w:after="64" w:line="320" w:lineRule="atLeast"/>
      <w:textAlignment w:val="baseline"/>
      <w:outlineLvl w:val="5"/>
    </w:pPr>
    <w:rPr>
      <w:rFonts w:ascii="Arial" w:hAnsi="Arial" w:eastAsia="黑体" w:cs="Times New Roman"/>
      <w:b/>
      <w:kern w:val="0"/>
      <w:sz w:val="24"/>
      <w:szCs w:val="20"/>
    </w:rPr>
  </w:style>
  <w:style w:type="paragraph" w:styleId="9">
    <w:name w:val="heading 7"/>
    <w:basedOn w:val="1"/>
    <w:next w:val="1"/>
    <w:link w:val="63"/>
    <w:qFormat/>
    <w:uiPriority w:val="0"/>
    <w:pPr>
      <w:keepNext/>
      <w:keepLines/>
      <w:adjustRightInd w:val="0"/>
      <w:spacing w:before="240" w:after="64" w:line="320" w:lineRule="atLeast"/>
      <w:textAlignment w:val="baseline"/>
      <w:outlineLvl w:val="6"/>
    </w:pPr>
    <w:rPr>
      <w:rFonts w:ascii="Times New Roman" w:hAnsi="Times New Roman" w:eastAsia="宋体" w:cs="Times New Roman"/>
      <w:b/>
      <w:kern w:val="0"/>
      <w:sz w:val="24"/>
      <w:szCs w:val="20"/>
    </w:rPr>
  </w:style>
  <w:style w:type="paragraph" w:styleId="10">
    <w:name w:val="heading 8"/>
    <w:basedOn w:val="1"/>
    <w:next w:val="1"/>
    <w:link w:val="64"/>
    <w:qFormat/>
    <w:uiPriority w:val="0"/>
    <w:pPr>
      <w:keepNext/>
      <w:keepLines/>
      <w:adjustRightInd w:val="0"/>
      <w:spacing w:before="240" w:after="64" w:line="320" w:lineRule="atLeast"/>
      <w:textAlignment w:val="baseline"/>
      <w:outlineLvl w:val="7"/>
    </w:pPr>
    <w:rPr>
      <w:rFonts w:ascii="Arial" w:hAnsi="Arial" w:eastAsia="黑体" w:cs="Times New Roman"/>
      <w:kern w:val="0"/>
      <w:sz w:val="24"/>
      <w:szCs w:val="20"/>
    </w:rPr>
  </w:style>
  <w:style w:type="paragraph" w:styleId="11">
    <w:name w:val="heading 9"/>
    <w:basedOn w:val="1"/>
    <w:next w:val="1"/>
    <w:link w:val="65"/>
    <w:qFormat/>
    <w:uiPriority w:val="0"/>
    <w:pPr>
      <w:keepNext/>
      <w:keepLines/>
      <w:adjustRightInd w:val="0"/>
      <w:spacing w:before="240" w:after="64" w:line="320" w:lineRule="atLeast"/>
      <w:textAlignment w:val="baseline"/>
      <w:outlineLvl w:val="8"/>
    </w:pPr>
    <w:rPr>
      <w:rFonts w:ascii="Arial" w:hAnsi="Arial" w:eastAsia="黑体" w:cs="Times New Roman"/>
      <w:kern w:val="0"/>
      <w:szCs w:val="20"/>
    </w:rPr>
  </w:style>
  <w:style w:type="character" w:default="1" w:styleId="43">
    <w:name w:val="Default Paragraph Font"/>
    <w:unhideWhenUsed/>
    <w:uiPriority w:val="1"/>
  </w:style>
  <w:style w:type="table" w:default="1" w:styleId="52">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72"/>
    <w:qFormat/>
    <w:uiPriority w:val="0"/>
    <w:pPr>
      <w:autoSpaceDE w:val="0"/>
      <w:autoSpaceDN w:val="0"/>
      <w:adjustRightInd w:val="0"/>
      <w:ind w:firstLine="420"/>
      <w:jc w:val="left"/>
    </w:pPr>
    <w:rPr>
      <w:rFonts w:ascii="宋体" w:eastAsia="宋体"/>
      <w:sz w:val="24"/>
      <w:szCs w:val="24"/>
    </w:rPr>
  </w:style>
  <w:style w:type="paragraph" w:styleId="12">
    <w:name w:val="annotation subject"/>
    <w:basedOn w:val="13"/>
    <w:next w:val="13"/>
    <w:link w:val="106"/>
    <w:qFormat/>
    <w:uiPriority w:val="99"/>
    <w:rPr>
      <w:b/>
      <w:bCs/>
    </w:rPr>
  </w:style>
  <w:style w:type="paragraph" w:styleId="13">
    <w:name w:val="annotation text"/>
    <w:basedOn w:val="1"/>
    <w:link w:val="102"/>
    <w:qFormat/>
    <w:uiPriority w:val="0"/>
    <w:pPr>
      <w:jc w:val="left"/>
    </w:pPr>
    <w:rPr>
      <w:rFonts w:ascii="Times New Roman" w:hAnsi="Times New Roman" w:eastAsia="宋体" w:cs="Times New Roman"/>
      <w:szCs w:val="24"/>
    </w:rPr>
  </w:style>
  <w:style w:type="paragraph" w:styleId="14">
    <w:name w:val="toc 7"/>
    <w:basedOn w:val="1"/>
    <w:next w:val="1"/>
    <w:uiPriority w:val="0"/>
    <w:pPr>
      <w:ind w:left="2520" w:leftChars="1200"/>
    </w:pPr>
    <w:rPr>
      <w:rFonts w:ascii="Times New Roman" w:hAnsi="Times New Roman" w:eastAsia="宋体" w:cs="Times New Roman"/>
      <w:szCs w:val="24"/>
    </w:rPr>
  </w:style>
  <w:style w:type="paragraph" w:styleId="15">
    <w:name w:val="caption"/>
    <w:basedOn w:val="1"/>
    <w:next w:val="1"/>
    <w:qFormat/>
    <w:uiPriority w:val="0"/>
    <w:pPr>
      <w:spacing w:line="480" w:lineRule="auto"/>
    </w:pPr>
    <w:rPr>
      <w:rFonts w:ascii="华文中宋" w:hAnsi="华文中宋" w:eastAsia="华文中宋" w:cs="Times New Roman"/>
      <w:sz w:val="36"/>
      <w:szCs w:val="20"/>
    </w:rPr>
  </w:style>
  <w:style w:type="paragraph" w:styleId="16">
    <w:name w:val="Document Map"/>
    <w:basedOn w:val="1"/>
    <w:link w:val="56"/>
    <w:unhideWhenUsed/>
    <w:uiPriority w:val="99"/>
    <w:rPr>
      <w:rFonts w:ascii="宋体" w:eastAsia="宋体"/>
      <w:sz w:val="18"/>
      <w:szCs w:val="18"/>
    </w:rPr>
  </w:style>
  <w:style w:type="paragraph" w:styleId="17">
    <w:name w:val="Body Text 3"/>
    <w:basedOn w:val="1"/>
    <w:link w:val="108"/>
    <w:qFormat/>
    <w:uiPriority w:val="0"/>
    <w:pPr>
      <w:spacing w:after="120"/>
    </w:pPr>
    <w:rPr>
      <w:rFonts w:ascii="Times New Roman" w:hAnsi="Times New Roman" w:eastAsia="宋体" w:cs="Times New Roman"/>
      <w:sz w:val="16"/>
      <w:szCs w:val="16"/>
    </w:rPr>
  </w:style>
  <w:style w:type="paragraph" w:styleId="18">
    <w:name w:val="Body Text"/>
    <w:basedOn w:val="1"/>
    <w:link w:val="104"/>
    <w:uiPriority w:val="0"/>
    <w:pPr>
      <w:tabs>
        <w:tab w:val="left" w:pos="567"/>
      </w:tabs>
      <w:spacing w:before="120" w:line="22" w:lineRule="atLeast"/>
    </w:pPr>
    <w:rPr>
      <w:rFonts w:ascii="宋体" w:hAnsi="宋体" w:eastAsia="宋体" w:cs="Times New Roman"/>
      <w:sz w:val="24"/>
      <w:szCs w:val="24"/>
    </w:rPr>
  </w:style>
  <w:style w:type="paragraph" w:styleId="19">
    <w:name w:val="Body Text Indent"/>
    <w:basedOn w:val="1"/>
    <w:link w:val="89"/>
    <w:unhideWhenUsed/>
    <w:qFormat/>
    <w:uiPriority w:val="0"/>
    <w:pPr>
      <w:spacing w:after="120"/>
      <w:ind w:left="420" w:leftChars="200"/>
    </w:pPr>
  </w:style>
  <w:style w:type="paragraph" w:styleId="20">
    <w:name w:val="List 2"/>
    <w:basedOn w:val="1"/>
    <w:qFormat/>
    <w:uiPriority w:val="0"/>
    <w:pPr>
      <w:ind w:left="100" w:leftChars="200" w:hanging="200" w:hangingChars="200"/>
    </w:pPr>
    <w:rPr>
      <w:rFonts w:ascii="Times New Roman" w:hAnsi="Times New Roman" w:eastAsia="宋体" w:cs="Times New Roman"/>
      <w:szCs w:val="24"/>
    </w:rPr>
  </w:style>
  <w:style w:type="paragraph" w:styleId="21">
    <w:name w:val="Block Text"/>
    <w:basedOn w:val="1"/>
    <w:qFormat/>
    <w:uiPriority w:val="0"/>
    <w:pPr>
      <w:widowControl/>
      <w:ind w:left="480" w:right="-341" w:firstLine="513"/>
    </w:pPr>
    <w:rPr>
      <w:rFonts w:ascii="Times New Roman" w:hAnsi="Times New Roman" w:eastAsia="宋体" w:cs="Times New Roman"/>
      <w:kern w:val="0"/>
      <w:sz w:val="24"/>
      <w:szCs w:val="20"/>
    </w:rPr>
  </w:style>
  <w:style w:type="paragraph" w:styleId="22">
    <w:name w:val="toc 5"/>
    <w:basedOn w:val="1"/>
    <w:next w:val="1"/>
    <w:uiPriority w:val="0"/>
    <w:pPr>
      <w:ind w:left="1680" w:leftChars="800"/>
    </w:pPr>
    <w:rPr>
      <w:rFonts w:ascii="Times New Roman" w:hAnsi="Times New Roman" w:eastAsia="宋体" w:cs="Times New Roman"/>
      <w:szCs w:val="24"/>
    </w:rPr>
  </w:style>
  <w:style w:type="paragraph" w:styleId="23">
    <w:name w:val="toc 3"/>
    <w:basedOn w:val="1"/>
    <w:next w:val="1"/>
    <w:qFormat/>
    <w:uiPriority w:val="39"/>
    <w:pPr>
      <w:ind w:left="840" w:leftChars="400"/>
    </w:pPr>
    <w:rPr>
      <w:rFonts w:ascii="Times New Roman" w:hAnsi="Times New Roman" w:eastAsia="宋体" w:cs="Times New Roman"/>
      <w:szCs w:val="24"/>
    </w:rPr>
  </w:style>
  <w:style w:type="paragraph" w:styleId="24">
    <w:name w:val="Plain Text"/>
    <w:basedOn w:val="1"/>
    <w:link w:val="100"/>
    <w:qFormat/>
    <w:uiPriority w:val="0"/>
    <w:rPr>
      <w:rFonts w:ascii="宋体" w:hAnsi="Courier New" w:eastAsia="宋体"/>
    </w:rPr>
  </w:style>
  <w:style w:type="paragraph" w:styleId="25">
    <w:name w:val="toc 8"/>
    <w:basedOn w:val="1"/>
    <w:next w:val="1"/>
    <w:qFormat/>
    <w:uiPriority w:val="0"/>
    <w:pPr>
      <w:ind w:left="2940" w:leftChars="1400"/>
    </w:pPr>
    <w:rPr>
      <w:rFonts w:ascii="Times New Roman" w:hAnsi="Times New Roman" w:eastAsia="宋体" w:cs="Times New Roman"/>
      <w:szCs w:val="24"/>
    </w:rPr>
  </w:style>
  <w:style w:type="paragraph" w:styleId="26">
    <w:name w:val="Date"/>
    <w:basedOn w:val="1"/>
    <w:next w:val="1"/>
    <w:link w:val="99"/>
    <w:qFormat/>
    <w:uiPriority w:val="0"/>
    <w:pPr>
      <w:ind w:left="100" w:leftChars="2500"/>
    </w:pPr>
    <w:rPr>
      <w:rFonts w:ascii="仿宋_GB2312" w:hAnsi="宋体" w:eastAsia="仿宋_GB2312" w:cs="Times New Roman"/>
      <w:color w:val="000000"/>
      <w:sz w:val="24"/>
      <w:szCs w:val="24"/>
    </w:rPr>
  </w:style>
  <w:style w:type="paragraph" w:styleId="27">
    <w:name w:val="Body Text Indent 2"/>
    <w:basedOn w:val="1"/>
    <w:link w:val="103"/>
    <w:uiPriority w:val="0"/>
    <w:pPr>
      <w:ind w:firstLine="480" w:firstLineChars="200"/>
    </w:pPr>
    <w:rPr>
      <w:rFonts w:ascii="仿宋_GB2312" w:hAnsi="Times New Roman" w:eastAsia="仿宋_GB2312" w:cs="Times New Roman"/>
      <w:sz w:val="24"/>
      <w:szCs w:val="24"/>
    </w:rPr>
  </w:style>
  <w:style w:type="paragraph" w:styleId="28">
    <w:name w:val="endnote text"/>
    <w:basedOn w:val="1"/>
    <w:link w:val="222"/>
    <w:unhideWhenUsed/>
    <w:qFormat/>
    <w:uiPriority w:val="99"/>
    <w:pPr>
      <w:snapToGrid w:val="0"/>
      <w:jc w:val="left"/>
    </w:pPr>
  </w:style>
  <w:style w:type="paragraph" w:styleId="29">
    <w:name w:val="Balloon Text"/>
    <w:basedOn w:val="1"/>
    <w:link w:val="55"/>
    <w:unhideWhenUsed/>
    <w:qFormat/>
    <w:uiPriority w:val="99"/>
    <w:rPr>
      <w:sz w:val="18"/>
      <w:szCs w:val="18"/>
    </w:rPr>
  </w:style>
  <w:style w:type="paragraph" w:styleId="30">
    <w:name w:val="footer"/>
    <w:basedOn w:val="1"/>
    <w:link w:val="105"/>
    <w:qFormat/>
    <w:uiPriority w:val="99"/>
    <w:pPr>
      <w:tabs>
        <w:tab w:val="center" w:pos="4153"/>
        <w:tab w:val="right" w:pos="8306"/>
      </w:tabs>
      <w:autoSpaceDE w:val="0"/>
      <w:autoSpaceDN w:val="0"/>
      <w:adjustRightInd w:val="0"/>
      <w:snapToGrid w:val="0"/>
      <w:jc w:val="left"/>
    </w:pPr>
    <w:rPr>
      <w:rFonts w:ascii="宋体" w:hAnsi="Times New Roman" w:eastAsia="宋体" w:cs="Times New Roman"/>
      <w:kern w:val="0"/>
      <w:sz w:val="18"/>
      <w:szCs w:val="20"/>
    </w:rPr>
  </w:style>
  <w:style w:type="paragraph" w:styleId="31">
    <w:name w:val="Body Text First Indent 2"/>
    <w:basedOn w:val="19"/>
    <w:link w:val="90"/>
    <w:qFormat/>
    <w:uiPriority w:val="0"/>
    <w:pPr>
      <w:spacing w:line="480" w:lineRule="exact"/>
      <w:ind w:firstLine="420" w:firstLineChars="200"/>
    </w:pPr>
    <w:rPr>
      <w:rFonts w:ascii="Times New Roman" w:hAnsi="Times New Roman" w:eastAsia="宋体" w:cs="Times New Roman"/>
      <w:sz w:val="24"/>
      <w:szCs w:val="20"/>
    </w:rPr>
  </w:style>
  <w:style w:type="paragraph" w:styleId="32">
    <w:name w:val="header"/>
    <w:basedOn w:val="1"/>
    <w:link w:val="98"/>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33">
    <w:name w:val="toc 1"/>
    <w:basedOn w:val="1"/>
    <w:next w:val="1"/>
    <w:qFormat/>
    <w:uiPriority w:val="39"/>
    <w:pPr>
      <w:tabs>
        <w:tab w:val="left" w:pos="1050"/>
        <w:tab w:val="right" w:leader="dot" w:pos="8937"/>
      </w:tabs>
      <w:spacing w:line="300" w:lineRule="auto"/>
    </w:pPr>
    <w:rPr>
      <w:rFonts w:ascii="宋体" w:hAnsi="宋体" w:eastAsia="宋体" w:cs="Times New Roman"/>
      <w:b/>
      <w:sz w:val="24"/>
      <w:szCs w:val="24"/>
    </w:rPr>
  </w:style>
  <w:style w:type="paragraph" w:styleId="34">
    <w:name w:val="toc 4"/>
    <w:basedOn w:val="1"/>
    <w:next w:val="1"/>
    <w:qFormat/>
    <w:uiPriority w:val="0"/>
    <w:pPr>
      <w:ind w:left="1260" w:leftChars="600"/>
    </w:pPr>
    <w:rPr>
      <w:rFonts w:ascii="Times New Roman" w:hAnsi="Times New Roman" w:eastAsia="宋体" w:cs="Times New Roman"/>
      <w:szCs w:val="24"/>
    </w:rPr>
  </w:style>
  <w:style w:type="paragraph" w:styleId="35">
    <w:name w:val="toc 6"/>
    <w:basedOn w:val="1"/>
    <w:next w:val="1"/>
    <w:qFormat/>
    <w:uiPriority w:val="0"/>
    <w:pPr>
      <w:ind w:left="2100" w:leftChars="1000"/>
    </w:pPr>
    <w:rPr>
      <w:rFonts w:ascii="Times New Roman" w:hAnsi="Times New Roman" w:eastAsia="宋体" w:cs="Times New Roman"/>
      <w:szCs w:val="24"/>
    </w:rPr>
  </w:style>
  <w:style w:type="paragraph" w:styleId="36">
    <w:name w:val="Body Text Indent 3"/>
    <w:basedOn w:val="1"/>
    <w:link w:val="91"/>
    <w:qFormat/>
    <w:uiPriority w:val="0"/>
    <w:pPr>
      <w:autoSpaceDE w:val="0"/>
      <w:autoSpaceDN w:val="0"/>
      <w:adjustRightInd w:val="0"/>
      <w:spacing w:before="120" w:line="22" w:lineRule="atLeast"/>
      <w:ind w:left="720" w:firstLine="480"/>
      <w:jc w:val="left"/>
    </w:pPr>
    <w:rPr>
      <w:rFonts w:ascii="宋体" w:hAnsi="Times New Roman" w:eastAsia="宋体" w:cs="Times New Roman"/>
      <w:kern w:val="0"/>
      <w:sz w:val="24"/>
      <w:szCs w:val="20"/>
    </w:rPr>
  </w:style>
  <w:style w:type="paragraph" w:styleId="37">
    <w:name w:val="toc 2"/>
    <w:basedOn w:val="1"/>
    <w:next w:val="1"/>
    <w:qFormat/>
    <w:uiPriority w:val="39"/>
    <w:pPr>
      <w:tabs>
        <w:tab w:val="right" w:leader="dot" w:pos="8937"/>
      </w:tabs>
      <w:spacing w:line="312" w:lineRule="auto"/>
      <w:ind w:left="420" w:leftChars="200"/>
    </w:pPr>
    <w:rPr>
      <w:rFonts w:ascii="Times New Roman" w:hAnsi="Times New Roman" w:eastAsia="宋体" w:cs="Times New Roman"/>
      <w:szCs w:val="24"/>
    </w:rPr>
  </w:style>
  <w:style w:type="paragraph" w:styleId="38">
    <w:name w:val="toc 9"/>
    <w:basedOn w:val="1"/>
    <w:next w:val="1"/>
    <w:qFormat/>
    <w:uiPriority w:val="0"/>
    <w:pPr>
      <w:ind w:left="3360" w:leftChars="1600"/>
    </w:pPr>
    <w:rPr>
      <w:rFonts w:ascii="Times New Roman" w:hAnsi="Times New Roman" w:eastAsia="宋体" w:cs="Times New Roman"/>
      <w:szCs w:val="24"/>
    </w:rPr>
  </w:style>
  <w:style w:type="paragraph" w:styleId="39">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1">
    <w:name w:val="index 1"/>
    <w:basedOn w:val="1"/>
    <w:next w:val="1"/>
    <w:qFormat/>
    <w:uiPriority w:val="0"/>
    <w:rPr>
      <w:rFonts w:ascii="Times New Roman" w:hAnsi="Times New Roman" w:eastAsia="宋体" w:cs="Times New Roman"/>
      <w:szCs w:val="20"/>
    </w:rPr>
  </w:style>
  <w:style w:type="paragraph" w:styleId="42">
    <w:name w:val="Title"/>
    <w:basedOn w:val="1"/>
    <w:link w:val="101"/>
    <w:qFormat/>
    <w:uiPriority w:val="0"/>
    <w:pPr>
      <w:jc w:val="center"/>
      <w:outlineLvl w:val="0"/>
    </w:pPr>
    <w:rPr>
      <w:rFonts w:ascii="Times New Roman" w:hAnsi="Times New Roman" w:eastAsia="宋体" w:cs="Times New Roman"/>
      <w:b/>
      <w:sz w:val="32"/>
      <w:szCs w:val="20"/>
    </w:rPr>
  </w:style>
  <w:style w:type="character" w:styleId="44">
    <w:name w:val="Strong"/>
    <w:qFormat/>
    <w:uiPriority w:val="0"/>
    <w:rPr>
      <w:b/>
      <w:bCs/>
    </w:rPr>
  </w:style>
  <w:style w:type="character" w:styleId="45">
    <w:name w:val="endnote reference"/>
    <w:basedOn w:val="43"/>
    <w:unhideWhenUsed/>
    <w:qFormat/>
    <w:uiPriority w:val="99"/>
    <w:rPr>
      <w:vertAlign w:val="superscript"/>
    </w:rPr>
  </w:style>
  <w:style w:type="character" w:styleId="46">
    <w:name w:val="page number"/>
    <w:basedOn w:val="43"/>
    <w:uiPriority w:val="0"/>
  </w:style>
  <w:style w:type="character" w:styleId="47">
    <w:name w:val="FollowedHyperlink"/>
    <w:qFormat/>
    <w:uiPriority w:val="99"/>
    <w:rPr>
      <w:color w:val="800080"/>
      <w:u w:val="single"/>
    </w:rPr>
  </w:style>
  <w:style w:type="character" w:styleId="48">
    <w:name w:val="Emphasis"/>
    <w:qFormat/>
    <w:uiPriority w:val="0"/>
    <w:rPr>
      <w:color w:val="CC0033"/>
    </w:rPr>
  </w:style>
  <w:style w:type="character" w:styleId="49">
    <w:name w:val="Hyperlink"/>
    <w:basedOn w:val="43"/>
    <w:unhideWhenUsed/>
    <w:qFormat/>
    <w:uiPriority w:val="99"/>
    <w:rPr>
      <w:color w:val="0000FF" w:themeColor="hyperlink"/>
      <w:u w:val="single"/>
    </w:rPr>
  </w:style>
  <w:style w:type="character" w:styleId="50">
    <w:name w:val="annotation reference"/>
    <w:qFormat/>
    <w:uiPriority w:val="99"/>
    <w:rPr>
      <w:sz w:val="21"/>
      <w:szCs w:val="21"/>
    </w:rPr>
  </w:style>
  <w:style w:type="character" w:styleId="51">
    <w:name w:val="HTML Cite"/>
    <w:uiPriority w:val="0"/>
    <w:rPr>
      <w:i/>
      <w:iCs/>
    </w:rPr>
  </w:style>
  <w:style w:type="table" w:styleId="53">
    <w:name w:val="Table Grid"/>
    <w:basedOn w:val="52"/>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54">
    <w:name w:val="Medium Grid 1 Accent 2"/>
    <w:basedOn w:val="52"/>
    <w:uiPriority w:val="0"/>
    <w:rPr>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CellMar>
        <w:top w:w="0" w:type="dxa"/>
        <w:left w:w="108" w:type="dxa"/>
        <w:bottom w:w="0" w:type="dxa"/>
        <w:right w:w="108" w:type="dxa"/>
      </w:tblCellMar>
    </w:tblPr>
    <w:tcPr>
      <w:shd w:val="clear" w:color="auto" w:fill="EFD3D2"/>
    </w:tcPr>
    <w:tblStylePr w:type="firstRow">
      <w:rPr>
        <w:b/>
        <w:bCs/>
      </w:rPr>
    </w:tblStylePr>
    <w:tblStylePr w:type="lastRow">
      <w:rPr>
        <w:b/>
        <w:bCs/>
      </w:rPr>
      <w:tblPr>
        <w:tblLayout w:type="fixed"/>
      </w:tblPr>
      <w:tcPr>
        <w:tcBorders>
          <w:top w:val="single" w:color="CF7B79" w:sz="18" w:space="0"/>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character" w:customStyle="1" w:styleId="55">
    <w:name w:val="批注框文本 Char"/>
    <w:basedOn w:val="43"/>
    <w:link w:val="29"/>
    <w:semiHidden/>
    <w:qFormat/>
    <w:uiPriority w:val="99"/>
    <w:rPr>
      <w:sz w:val="18"/>
      <w:szCs w:val="18"/>
    </w:rPr>
  </w:style>
  <w:style w:type="character" w:customStyle="1" w:styleId="56">
    <w:name w:val="文档结构图 Char"/>
    <w:basedOn w:val="43"/>
    <w:link w:val="16"/>
    <w:semiHidden/>
    <w:uiPriority w:val="99"/>
    <w:rPr>
      <w:rFonts w:ascii="宋体" w:eastAsia="宋体"/>
      <w:sz w:val="18"/>
      <w:szCs w:val="18"/>
    </w:rPr>
  </w:style>
  <w:style w:type="character" w:customStyle="1" w:styleId="57">
    <w:name w:val="标题 2 Char"/>
    <w:basedOn w:val="43"/>
    <w:link w:val="3"/>
    <w:qFormat/>
    <w:uiPriority w:val="9"/>
    <w:rPr>
      <w:rFonts w:asciiTheme="majorHAnsi" w:hAnsiTheme="majorHAnsi" w:eastAsiaTheme="majorEastAsia" w:cstheme="majorBidi"/>
      <w:b/>
      <w:bCs/>
      <w:sz w:val="32"/>
      <w:szCs w:val="32"/>
    </w:rPr>
  </w:style>
  <w:style w:type="character" w:customStyle="1" w:styleId="58">
    <w:name w:val="标题 1 Char"/>
    <w:basedOn w:val="43"/>
    <w:link w:val="2"/>
    <w:qFormat/>
    <w:uiPriority w:val="9"/>
    <w:rPr>
      <w:b/>
      <w:bCs/>
      <w:kern w:val="44"/>
      <w:sz w:val="44"/>
      <w:szCs w:val="44"/>
    </w:rPr>
  </w:style>
  <w:style w:type="character" w:customStyle="1" w:styleId="59">
    <w:name w:val="标题 3 Char"/>
    <w:basedOn w:val="43"/>
    <w:link w:val="4"/>
    <w:qFormat/>
    <w:uiPriority w:val="9"/>
    <w:rPr>
      <w:rFonts w:ascii="宋体" w:hAnsi="Times New Roman" w:eastAsia="宋体" w:cs="Times New Roman"/>
      <w:b/>
      <w:kern w:val="0"/>
      <w:sz w:val="24"/>
      <w:szCs w:val="20"/>
      <w:u w:val="single"/>
    </w:rPr>
  </w:style>
  <w:style w:type="character" w:customStyle="1" w:styleId="60">
    <w:name w:val="标题 4 Char"/>
    <w:basedOn w:val="43"/>
    <w:link w:val="6"/>
    <w:qFormat/>
    <w:uiPriority w:val="9"/>
    <w:rPr>
      <w:rFonts w:ascii="Arial" w:hAnsi="Arial" w:eastAsia="黑体" w:cs="Times New Roman"/>
      <w:b/>
      <w:kern w:val="0"/>
      <w:sz w:val="28"/>
      <w:szCs w:val="20"/>
    </w:rPr>
  </w:style>
  <w:style w:type="character" w:customStyle="1" w:styleId="61">
    <w:name w:val="标题 5 Char"/>
    <w:basedOn w:val="43"/>
    <w:link w:val="7"/>
    <w:qFormat/>
    <w:uiPriority w:val="9"/>
    <w:rPr>
      <w:rFonts w:ascii="Times New Roman" w:hAnsi="Times New Roman" w:eastAsia="宋体" w:cs="Times New Roman"/>
      <w:b/>
      <w:kern w:val="0"/>
      <w:sz w:val="28"/>
      <w:szCs w:val="20"/>
    </w:rPr>
  </w:style>
  <w:style w:type="character" w:customStyle="1" w:styleId="62">
    <w:name w:val="标题 6 Char"/>
    <w:basedOn w:val="43"/>
    <w:link w:val="8"/>
    <w:qFormat/>
    <w:uiPriority w:val="0"/>
    <w:rPr>
      <w:rFonts w:ascii="Arial" w:hAnsi="Arial" w:eastAsia="黑体" w:cs="Times New Roman"/>
      <w:b/>
      <w:kern w:val="0"/>
      <w:sz w:val="24"/>
      <w:szCs w:val="20"/>
    </w:rPr>
  </w:style>
  <w:style w:type="character" w:customStyle="1" w:styleId="63">
    <w:name w:val="标题 7 Char"/>
    <w:basedOn w:val="43"/>
    <w:link w:val="9"/>
    <w:uiPriority w:val="0"/>
    <w:rPr>
      <w:rFonts w:ascii="Times New Roman" w:hAnsi="Times New Roman" w:eastAsia="宋体" w:cs="Times New Roman"/>
      <w:b/>
      <w:kern w:val="0"/>
      <w:sz w:val="24"/>
      <w:szCs w:val="20"/>
    </w:rPr>
  </w:style>
  <w:style w:type="character" w:customStyle="1" w:styleId="64">
    <w:name w:val="标题 8 Char"/>
    <w:basedOn w:val="43"/>
    <w:link w:val="10"/>
    <w:uiPriority w:val="0"/>
    <w:rPr>
      <w:rFonts w:ascii="Arial" w:hAnsi="Arial" w:eastAsia="黑体" w:cs="Times New Roman"/>
      <w:kern w:val="0"/>
      <w:sz w:val="24"/>
      <w:szCs w:val="20"/>
    </w:rPr>
  </w:style>
  <w:style w:type="character" w:customStyle="1" w:styleId="65">
    <w:name w:val="标题 9 Char"/>
    <w:basedOn w:val="43"/>
    <w:link w:val="11"/>
    <w:qFormat/>
    <w:uiPriority w:val="0"/>
    <w:rPr>
      <w:rFonts w:ascii="Arial" w:hAnsi="Arial" w:eastAsia="黑体" w:cs="Times New Roman"/>
      <w:kern w:val="0"/>
      <w:szCs w:val="20"/>
    </w:rPr>
  </w:style>
  <w:style w:type="character" w:customStyle="1" w:styleId="66">
    <w:name w:val="c21"/>
    <w:qFormat/>
    <w:uiPriority w:val="0"/>
    <w:rPr>
      <w:rFonts w:hint="default" w:ascii="ˎ̥" w:hAnsi="ˎ̥"/>
      <w:color w:val="000000"/>
      <w:sz w:val="20"/>
      <w:szCs w:val="20"/>
      <w:u w:val="none"/>
    </w:rPr>
  </w:style>
  <w:style w:type="character" w:customStyle="1" w:styleId="67">
    <w:name w:val="title4"/>
    <w:uiPriority w:val="0"/>
    <w:rPr>
      <w:b/>
      <w:bCs/>
      <w:color w:val="1D87B3"/>
      <w:sz w:val="15"/>
      <w:szCs w:val="15"/>
    </w:rPr>
  </w:style>
  <w:style w:type="character" w:customStyle="1" w:styleId="68">
    <w:name w:val="标题 2 Char Char"/>
    <w:uiPriority w:val="0"/>
    <w:rPr>
      <w:rFonts w:ascii="Arial" w:hAnsi="Arial" w:eastAsia="黑体"/>
      <w:b/>
      <w:bCs/>
      <w:kern w:val="2"/>
      <w:sz w:val="32"/>
      <w:szCs w:val="32"/>
      <w:lang w:val="en-US" w:eastAsia="zh-CN" w:bidi="ar-SA"/>
    </w:rPr>
  </w:style>
  <w:style w:type="character" w:customStyle="1" w:styleId="69">
    <w:name w:val="black1"/>
    <w:qFormat/>
    <w:uiPriority w:val="0"/>
    <w:rPr>
      <w:color w:val="000000"/>
    </w:rPr>
  </w:style>
  <w:style w:type="character" w:customStyle="1" w:styleId="70">
    <w:name w:val="street-address"/>
    <w:basedOn w:val="43"/>
    <w:uiPriority w:val="0"/>
  </w:style>
  <w:style w:type="character" w:customStyle="1" w:styleId="71">
    <w:name w:val="locality"/>
    <w:basedOn w:val="43"/>
    <w:uiPriority w:val="0"/>
  </w:style>
  <w:style w:type="character" w:customStyle="1" w:styleId="72">
    <w:name w:val="正文缩进 Char"/>
    <w:link w:val="5"/>
    <w:qFormat/>
    <w:uiPriority w:val="0"/>
    <w:rPr>
      <w:rFonts w:ascii="宋体" w:eastAsia="宋体"/>
      <w:sz w:val="24"/>
      <w:szCs w:val="24"/>
    </w:rPr>
  </w:style>
  <w:style w:type="character" w:customStyle="1" w:styleId="73">
    <w:name w:val="正文文本缩进 Char1"/>
    <w:link w:val="74"/>
    <w:uiPriority w:val="0"/>
    <w:rPr>
      <w:rFonts w:ascii="宋体" w:hAnsi="宋体" w:eastAsia="宋体"/>
      <w:sz w:val="24"/>
      <w:szCs w:val="24"/>
    </w:rPr>
  </w:style>
  <w:style w:type="paragraph" w:customStyle="1" w:styleId="74">
    <w:name w:val="正文文本缩进1"/>
    <w:basedOn w:val="1"/>
    <w:link w:val="73"/>
    <w:qFormat/>
    <w:uiPriority w:val="0"/>
    <w:pPr>
      <w:spacing w:line="480" w:lineRule="exact"/>
      <w:ind w:firstLine="480" w:firstLineChars="200"/>
    </w:pPr>
    <w:rPr>
      <w:rFonts w:ascii="宋体" w:hAnsi="宋体" w:eastAsia="宋体"/>
      <w:sz w:val="24"/>
      <w:szCs w:val="24"/>
    </w:rPr>
  </w:style>
  <w:style w:type="character" w:customStyle="1" w:styleId="75">
    <w:name w:val="Char Char11"/>
    <w:uiPriority w:val="0"/>
    <w:rPr>
      <w:rFonts w:ascii="宋体" w:eastAsia="宋体"/>
      <w:b/>
      <w:sz w:val="24"/>
      <w:u w:val="single"/>
      <w:lang w:val="en-US" w:eastAsia="zh-CN" w:bidi="ar-SA"/>
    </w:rPr>
  </w:style>
  <w:style w:type="character" w:customStyle="1" w:styleId="76">
    <w:name w:val="txt"/>
    <w:basedOn w:val="43"/>
    <w:uiPriority w:val="0"/>
  </w:style>
  <w:style w:type="character" w:customStyle="1" w:styleId="77">
    <w:name w:val="正文文本缩进 Char"/>
    <w:uiPriority w:val="0"/>
    <w:rPr>
      <w:rFonts w:eastAsia="宋体"/>
      <w:kern w:val="2"/>
      <w:sz w:val="24"/>
      <w:szCs w:val="24"/>
      <w:lang w:val="en-US" w:eastAsia="zh-CN" w:bidi="ar-SA"/>
    </w:rPr>
  </w:style>
  <w:style w:type="character" w:customStyle="1" w:styleId="78">
    <w:name w:val="正文缩进 Char Char"/>
    <w:link w:val="79"/>
    <w:uiPriority w:val="0"/>
    <w:rPr>
      <w:rFonts w:ascii="宋体" w:eastAsia="宋体"/>
      <w:snapToGrid w:val="0"/>
      <w:color w:val="000000"/>
      <w:kern w:val="28"/>
      <w:sz w:val="28"/>
    </w:rPr>
  </w:style>
  <w:style w:type="paragraph" w:customStyle="1" w:styleId="79">
    <w:name w:val="正文缩进1"/>
    <w:basedOn w:val="1"/>
    <w:link w:val="78"/>
    <w:uiPriority w:val="0"/>
    <w:pPr>
      <w:widowControl/>
      <w:adjustRightInd w:val="0"/>
      <w:snapToGrid w:val="0"/>
      <w:spacing w:line="480" w:lineRule="exact"/>
      <w:ind w:firstLine="567"/>
    </w:pPr>
    <w:rPr>
      <w:rFonts w:ascii="宋体" w:eastAsia="宋体"/>
      <w:snapToGrid w:val="0"/>
      <w:color w:val="000000"/>
      <w:kern w:val="28"/>
      <w:sz w:val="28"/>
    </w:rPr>
  </w:style>
  <w:style w:type="character" w:customStyle="1" w:styleId="80">
    <w:name w:val="普通文字1 Char1"/>
    <w:uiPriority w:val="0"/>
    <w:rPr>
      <w:rFonts w:ascii="宋体" w:hAnsi="Courier New" w:eastAsia="宋体"/>
      <w:kern w:val="2"/>
      <w:sz w:val="21"/>
      <w:lang w:val="en-US" w:eastAsia="zh-CN" w:bidi="ar-SA"/>
    </w:rPr>
  </w:style>
  <w:style w:type="character" w:customStyle="1" w:styleId="81">
    <w:name w:val="chanpin1"/>
    <w:qFormat/>
    <w:uiPriority w:val="0"/>
    <w:rPr>
      <w:rFonts w:hint="default" w:ascii="ˎ̥" w:hAnsi="ˎ̥"/>
      <w:color w:val="000000"/>
      <w:sz w:val="20"/>
      <w:szCs w:val="20"/>
      <w:u w:val="none"/>
    </w:rPr>
  </w:style>
  <w:style w:type="character" w:customStyle="1" w:styleId="82">
    <w:name w:val="列出段落 Char"/>
    <w:link w:val="83"/>
    <w:qFormat/>
    <w:uiPriority w:val="0"/>
    <w:rPr>
      <w:rFonts w:ascii="Calibri" w:hAnsi="Calibri" w:eastAsia="宋体"/>
    </w:rPr>
  </w:style>
  <w:style w:type="paragraph" w:customStyle="1" w:styleId="83">
    <w:name w:val="List Paragraph"/>
    <w:basedOn w:val="1"/>
    <w:link w:val="82"/>
    <w:qFormat/>
    <w:uiPriority w:val="0"/>
    <w:pPr>
      <w:ind w:firstLine="420" w:firstLineChars="200"/>
    </w:pPr>
    <w:rPr>
      <w:rFonts w:ascii="Calibri" w:hAnsi="Calibri" w:eastAsia="宋体"/>
    </w:rPr>
  </w:style>
  <w:style w:type="character" w:customStyle="1" w:styleId="84">
    <w:name w:val="标题 3 Char Char"/>
    <w:qFormat/>
    <w:uiPriority w:val="0"/>
    <w:rPr>
      <w:rFonts w:eastAsia="宋体"/>
      <w:b/>
      <w:bCs/>
      <w:kern w:val="2"/>
      <w:sz w:val="32"/>
      <w:szCs w:val="32"/>
      <w:lang w:val="en-US" w:eastAsia="zh-CN" w:bidi="ar-SA"/>
    </w:rPr>
  </w:style>
  <w:style w:type="character" w:customStyle="1" w:styleId="85">
    <w:name w:val="页眉 Char"/>
    <w:link w:val="32"/>
    <w:qFormat/>
    <w:uiPriority w:val="99"/>
    <w:rPr>
      <w:rFonts w:eastAsia="宋体"/>
      <w:sz w:val="18"/>
      <w:szCs w:val="18"/>
    </w:rPr>
  </w:style>
  <w:style w:type="character" w:customStyle="1" w:styleId="86">
    <w:name w:val="chanpin拷贝"/>
    <w:basedOn w:val="43"/>
    <w:qFormat/>
    <w:uiPriority w:val="0"/>
  </w:style>
  <w:style w:type="character" w:customStyle="1" w:styleId="87">
    <w:name w:val="纯文本 Char1"/>
    <w:link w:val="24"/>
    <w:uiPriority w:val="0"/>
    <w:rPr>
      <w:rFonts w:ascii="宋体" w:hAnsi="Courier New" w:eastAsia="宋体"/>
    </w:rPr>
  </w:style>
  <w:style w:type="character" w:customStyle="1" w:styleId="88">
    <w:name w:val="apple-style-span"/>
    <w:uiPriority w:val="0"/>
    <w:rPr>
      <w:rFonts w:cs="Times New Roman"/>
    </w:rPr>
  </w:style>
  <w:style w:type="character" w:customStyle="1" w:styleId="89">
    <w:name w:val="正文文本缩进 Char2"/>
    <w:basedOn w:val="43"/>
    <w:link w:val="19"/>
    <w:semiHidden/>
    <w:uiPriority w:val="99"/>
  </w:style>
  <w:style w:type="character" w:customStyle="1" w:styleId="90">
    <w:name w:val="正文首行缩进 2 Char"/>
    <w:basedOn w:val="89"/>
    <w:link w:val="31"/>
    <w:uiPriority w:val="0"/>
    <w:rPr>
      <w:rFonts w:ascii="Times New Roman" w:hAnsi="Times New Roman" w:eastAsia="宋体" w:cs="Times New Roman"/>
      <w:sz w:val="24"/>
      <w:szCs w:val="20"/>
    </w:rPr>
  </w:style>
  <w:style w:type="character" w:customStyle="1" w:styleId="91">
    <w:name w:val="正文文本缩进 3 Char"/>
    <w:basedOn w:val="43"/>
    <w:link w:val="36"/>
    <w:qFormat/>
    <w:uiPriority w:val="0"/>
    <w:rPr>
      <w:rFonts w:ascii="宋体" w:hAnsi="Times New Roman" w:eastAsia="宋体" w:cs="Times New Roman"/>
      <w:kern w:val="0"/>
      <w:sz w:val="24"/>
      <w:szCs w:val="20"/>
    </w:rPr>
  </w:style>
  <w:style w:type="paragraph" w:customStyle="1" w:styleId="92">
    <w:name w:val="二级条标题"/>
    <w:basedOn w:val="93"/>
    <w:next w:val="1"/>
    <w:qFormat/>
    <w:uiPriority w:val="0"/>
    <w:pPr>
      <w:tabs>
        <w:tab w:val="left" w:pos="360"/>
        <w:tab w:val="left" w:pos="840"/>
      </w:tabs>
      <w:outlineLvl w:val="2"/>
    </w:pPr>
    <w:rPr>
      <w:rFonts w:ascii="宋体" w:eastAsia="宋体"/>
      <w:b w:val="0"/>
    </w:rPr>
  </w:style>
  <w:style w:type="paragraph" w:customStyle="1" w:styleId="93">
    <w:name w:val="一级条标题"/>
    <w:basedOn w:val="94"/>
    <w:next w:val="1"/>
    <w:qFormat/>
    <w:uiPriority w:val="0"/>
    <w:pPr>
      <w:tabs>
        <w:tab w:val="left" w:pos="360"/>
        <w:tab w:val="left" w:pos="840"/>
      </w:tabs>
      <w:ind w:hanging="840"/>
      <w:outlineLvl w:val="1"/>
    </w:pPr>
  </w:style>
  <w:style w:type="paragraph" w:customStyle="1" w:styleId="94">
    <w:name w:val="章标题"/>
    <w:next w:val="1"/>
    <w:uiPriority w:val="0"/>
    <w:pPr>
      <w:spacing w:beforeLines="50" w:afterLines="50" w:line="460" w:lineRule="exact"/>
      <w:ind w:hanging="420"/>
      <w:jc w:val="both"/>
      <w:outlineLvl w:val="0"/>
    </w:pPr>
    <w:rPr>
      <w:rFonts w:ascii="黑体" w:hAnsi="Times New Roman" w:eastAsia="黑体" w:cs="Times New Roman"/>
      <w:b/>
      <w:kern w:val="0"/>
      <w:sz w:val="28"/>
      <w:szCs w:val="20"/>
      <w:lang w:val="en-US" w:eastAsia="zh-CN" w:bidi="ar-SA"/>
    </w:rPr>
  </w:style>
  <w:style w:type="paragraph" w:customStyle="1" w:styleId="95">
    <w:name w:val="font7"/>
    <w:basedOn w:val="1"/>
    <w:uiPriority w:val="0"/>
    <w:pPr>
      <w:widowControl/>
      <w:spacing w:before="100" w:beforeAutospacing="1" w:after="100" w:afterAutospacing="1"/>
      <w:jc w:val="left"/>
    </w:pPr>
    <w:rPr>
      <w:rFonts w:ascii="Times New Roman" w:hAnsi="Times New Roman" w:eastAsia="Arial Unicode MS" w:cs="Times New Roman"/>
      <w:b/>
      <w:bCs/>
      <w:color w:val="000000"/>
      <w:kern w:val="0"/>
      <w:sz w:val="20"/>
      <w:szCs w:val="20"/>
    </w:rPr>
  </w:style>
  <w:style w:type="paragraph" w:customStyle="1" w:styleId="96">
    <w:name w:val="字元 字元"/>
    <w:basedOn w:val="1"/>
    <w:uiPriority w:val="0"/>
    <w:rPr>
      <w:rFonts w:ascii="Tahoma" w:hAnsi="Tahoma" w:eastAsia="宋体" w:cs="Times New Roman"/>
      <w:sz w:val="24"/>
      <w:szCs w:val="20"/>
    </w:rPr>
  </w:style>
  <w:style w:type="paragraph" w:customStyle="1" w:styleId="97">
    <w:name w:val="Char3 Char Char Char"/>
    <w:basedOn w:val="1"/>
    <w:qFormat/>
    <w:uiPriority w:val="0"/>
    <w:rPr>
      <w:rFonts w:ascii="Tahoma" w:hAnsi="Tahoma" w:eastAsia="宋体" w:cs="Times New Roman"/>
      <w:sz w:val="24"/>
      <w:szCs w:val="20"/>
    </w:rPr>
  </w:style>
  <w:style w:type="character" w:customStyle="1" w:styleId="98">
    <w:name w:val="页眉 Char1"/>
    <w:basedOn w:val="43"/>
    <w:link w:val="32"/>
    <w:semiHidden/>
    <w:qFormat/>
    <w:uiPriority w:val="99"/>
    <w:rPr>
      <w:sz w:val="18"/>
      <w:szCs w:val="18"/>
    </w:rPr>
  </w:style>
  <w:style w:type="character" w:customStyle="1" w:styleId="99">
    <w:name w:val="日期 Char"/>
    <w:basedOn w:val="43"/>
    <w:link w:val="26"/>
    <w:qFormat/>
    <w:uiPriority w:val="0"/>
    <w:rPr>
      <w:rFonts w:ascii="仿宋_GB2312" w:hAnsi="宋体" w:eastAsia="仿宋_GB2312" w:cs="Times New Roman"/>
      <w:color w:val="000000"/>
      <w:sz w:val="24"/>
      <w:szCs w:val="24"/>
    </w:rPr>
  </w:style>
  <w:style w:type="character" w:customStyle="1" w:styleId="100">
    <w:name w:val="纯文本 Char"/>
    <w:basedOn w:val="43"/>
    <w:link w:val="24"/>
    <w:semiHidden/>
    <w:uiPriority w:val="99"/>
    <w:rPr>
      <w:rFonts w:ascii="宋体" w:hAnsi="Courier New" w:eastAsia="宋体" w:cs="Courier New"/>
      <w:szCs w:val="21"/>
    </w:rPr>
  </w:style>
  <w:style w:type="character" w:customStyle="1" w:styleId="101">
    <w:name w:val="标题 Char"/>
    <w:basedOn w:val="43"/>
    <w:link w:val="42"/>
    <w:qFormat/>
    <w:uiPriority w:val="0"/>
    <w:rPr>
      <w:rFonts w:ascii="Times New Roman" w:hAnsi="Times New Roman" w:eastAsia="宋体" w:cs="Times New Roman"/>
      <w:b/>
      <w:sz w:val="32"/>
      <w:szCs w:val="20"/>
    </w:rPr>
  </w:style>
  <w:style w:type="character" w:customStyle="1" w:styleId="102">
    <w:name w:val="批注文字 Char"/>
    <w:basedOn w:val="43"/>
    <w:link w:val="13"/>
    <w:qFormat/>
    <w:uiPriority w:val="0"/>
    <w:rPr>
      <w:rFonts w:ascii="Times New Roman" w:hAnsi="Times New Roman" w:eastAsia="宋体" w:cs="Times New Roman"/>
      <w:szCs w:val="24"/>
    </w:rPr>
  </w:style>
  <w:style w:type="character" w:customStyle="1" w:styleId="103">
    <w:name w:val="正文文本缩进 2 Char"/>
    <w:basedOn w:val="43"/>
    <w:link w:val="27"/>
    <w:qFormat/>
    <w:uiPriority w:val="0"/>
    <w:rPr>
      <w:rFonts w:ascii="仿宋_GB2312" w:hAnsi="Times New Roman" w:eastAsia="仿宋_GB2312" w:cs="Times New Roman"/>
      <w:sz w:val="24"/>
      <w:szCs w:val="24"/>
    </w:rPr>
  </w:style>
  <w:style w:type="character" w:customStyle="1" w:styleId="104">
    <w:name w:val="正文文本 Char"/>
    <w:basedOn w:val="43"/>
    <w:link w:val="18"/>
    <w:uiPriority w:val="0"/>
    <w:rPr>
      <w:rFonts w:ascii="宋体" w:hAnsi="宋体" w:eastAsia="宋体" w:cs="Times New Roman"/>
      <w:sz w:val="24"/>
      <w:szCs w:val="24"/>
    </w:rPr>
  </w:style>
  <w:style w:type="character" w:customStyle="1" w:styleId="105">
    <w:name w:val="页脚 Char"/>
    <w:basedOn w:val="43"/>
    <w:link w:val="30"/>
    <w:qFormat/>
    <w:uiPriority w:val="99"/>
    <w:rPr>
      <w:rFonts w:ascii="宋体" w:hAnsi="Times New Roman" w:eastAsia="宋体" w:cs="Times New Roman"/>
      <w:kern w:val="0"/>
      <w:sz w:val="18"/>
      <w:szCs w:val="20"/>
    </w:rPr>
  </w:style>
  <w:style w:type="character" w:customStyle="1" w:styleId="106">
    <w:name w:val="批注主题 Char"/>
    <w:basedOn w:val="102"/>
    <w:link w:val="12"/>
    <w:qFormat/>
    <w:uiPriority w:val="99"/>
    <w:rPr>
      <w:b/>
      <w:bCs/>
    </w:rPr>
  </w:style>
  <w:style w:type="character" w:customStyle="1" w:styleId="107">
    <w:name w:val="HTML 预设格式 Char"/>
    <w:basedOn w:val="43"/>
    <w:link w:val="39"/>
    <w:uiPriority w:val="0"/>
    <w:rPr>
      <w:rFonts w:ascii="宋体" w:hAnsi="宋体" w:eastAsia="宋体" w:cs="宋体"/>
      <w:kern w:val="0"/>
      <w:sz w:val="24"/>
      <w:szCs w:val="24"/>
    </w:rPr>
  </w:style>
  <w:style w:type="character" w:customStyle="1" w:styleId="108">
    <w:name w:val="正文文本 3 Char"/>
    <w:basedOn w:val="43"/>
    <w:link w:val="17"/>
    <w:qFormat/>
    <w:uiPriority w:val="0"/>
    <w:rPr>
      <w:rFonts w:ascii="Times New Roman" w:hAnsi="Times New Roman" w:eastAsia="宋体" w:cs="Times New Roman"/>
      <w:sz w:val="16"/>
      <w:szCs w:val="16"/>
    </w:rPr>
  </w:style>
  <w:style w:type="paragraph" w:customStyle="1" w:styleId="109">
    <w:name w:val="font6"/>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10">
    <w:name w:val="项目编号2"/>
    <w:basedOn w:val="111"/>
    <w:uiPriority w:val="0"/>
    <w:pPr>
      <w:tabs>
        <w:tab w:val="left" w:pos="768"/>
      </w:tabs>
      <w:ind w:left="420" w:hanging="420"/>
    </w:pPr>
  </w:style>
  <w:style w:type="paragraph" w:customStyle="1" w:styleId="111">
    <w:name w:val="项目编号1"/>
    <w:basedOn w:val="1"/>
    <w:uiPriority w:val="0"/>
    <w:pPr>
      <w:tabs>
        <w:tab w:val="left" w:pos="768"/>
      </w:tabs>
      <w:spacing w:before="100" w:beforeAutospacing="1" w:after="100" w:afterAutospacing="1" w:line="360" w:lineRule="auto"/>
      <w:ind w:left="768" w:hanging="360"/>
    </w:pPr>
    <w:rPr>
      <w:rFonts w:ascii="Times New Roman" w:hAnsi="Times New Roman" w:eastAsia="宋体" w:cs="Times New Roman"/>
      <w:sz w:val="24"/>
      <w:szCs w:val="24"/>
    </w:rPr>
  </w:style>
  <w:style w:type="paragraph" w:customStyle="1" w:styleId="112">
    <w:name w:val="图中文字"/>
    <w:basedOn w:val="1"/>
    <w:qFormat/>
    <w:uiPriority w:val="0"/>
    <w:pPr>
      <w:adjustRightInd w:val="0"/>
      <w:snapToGrid w:val="0"/>
      <w:spacing w:line="0" w:lineRule="atLeast"/>
      <w:jc w:val="center"/>
    </w:pPr>
    <w:rPr>
      <w:rFonts w:ascii="Times New Roman" w:hAnsi="Times New Roman" w:eastAsia="宋体" w:cs="Times New Roman"/>
      <w:sz w:val="24"/>
      <w:szCs w:val="20"/>
    </w:rPr>
  </w:style>
  <w:style w:type="paragraph" w:customStyle="1" w:styleId="113">
    <w:name w:val="xl46"/>
    <w:basedOn w:val="1"/>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1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115">
    <w:name w:val="Char2"/>
    <w:basedOn w:val="1"/>
    <w:qFormat/>
    <w:uiPriority w:val="0"/>
    <w:rPr>
      <w:rFonts w:ascii="Tahoma" w:hAnsi="Tahoma" w:eastAsia="宋体" w:cs="Times New Roman"/>
      <w:sz w:val="24"/>
      <w:szCs w:val="20"/>
    </w:rPr>
  </w:style>
  <w:style w:type="paragraph" w:customStyle="1" w:styleId="116">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8">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119">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20">
    <w:name w:val="background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1">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12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123">
    <w:name w:val="xl36"/>
    <w:basedOn w:val="1"/>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4">
    <w:name w:val="正文 + 宋体"/>
    <w:basedOn w:val="1"/>
    <w:qFormat/>
    <w:uiPriority w:val="0"/>
    <w:pPr>
      <w:widowControl/>
      <w:ind w:left="360" w:hanging="360"/>
      <w:jc w:val="left"/>
    </w:pPr>
    <w:rPr>
      <w:rFonts w:ascii="宋体" w:hAnsi="宋体" w:eastAsia="宋体" w:cs="宋体"/>
      <w:b/>
      <w:bCs/>
      <w:color w:val="000000"/>
      <w:kern w:val="0"/>
      <w:sz w:val="18"/>
      <w:szCs w:val="18"/>
    </w:rPr>
  </w:style>
  <w:style w:type="paragraph" w:customStyle="1" w:styleId="125">
    <w:name w:val="正文列项_数字"/>
    <w:basedOn w:val="1"/>
    <w:uiPriority w:val="0"/>
    <w:pPr>
      <w:autoSpaceDE w:val="0"/>
      <w:autoSpaceDN w:val="0"/>
      <w:spacing w:line="460" w:lineRule="exact"/>
      <w:ind w:left="680" w:leftChars="530" w:hanging="150" w:hangingChars="150"/>
      <w:outlineLvl w:val="7"/>
    </w:pPr>
    <w:rPr>
      <w:rFonts w:ascii="宋体" w:hAnsi="Times New Roman" w:eastAsia="宋体" w:cs="Times New Roman"/>
      <w:kern w:val="0"/>
      <w:sz w:val="28"/>
      <w:szCs w:val="20"/>
    </w:rPr>
  </w:style>
  <w:style w:type="paragraph" w:customStyle="1" w:styleId="126">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7">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2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29">
    <w:name w:val="font8"/>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130">
    <w:name w:val="Char"/>
    <w:basedOn w:val="1"/>
    <w:uiPriority w:val="0"/>
    <w:pPr>
      <w:tabs>
        <w:tab w:val="left" w:pos="360"/>
      </w:tabs>
    </w:pPr>
    <w:rPr>
      <w:rFonts w:ascii="Times New Roman" w:hAnsi="Times New Roman" w:eastAsia="宋体" w:cs="Times New Roman"/>
      <w:sz w:val="24"/>
      <w:szCs w:val="24"/>
    </w:rPr>
  </w:style>
  <w:style w:type="paragraph" w:customStyle="1" w:styleId="131">
    <w:name w:val="Char Char Char Char Char Char Char Char Char Char Char Char Char Char Char Char"/>
    <w:basedOn w:val="1"/>
    <w:qFormat/>
    <w:uiPriority w:val="0"/>
    <w:pPr>
      <w:widowControl/>
      <w:spacing w:after="160" w:line="240" w:lineRule="exact"/>
      <w:jc w:val="center"/>
    </w:pPr>
    <w:rPr>
      <w:rFonts w:ascii="宋体" w:hAnsi="宋体" w:eastAsia="宋体" w:cs="Times New Roman"/>
      <w:b/>
      <w:kern w:val="0"/>
      <w:sz w:val="30"/>
      <w:szCs w:val="30"/>
      <w:lang w:eastAsia="en-US"/>
    </w:rPr>
  </w:style>
  <w:style w:type="paragraph" w:customStyle="1" w:styleId="132">
    <w:name w:val="xl4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33">
    <w:name w:val="Char Char1 Char Char 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34">
    <w:name w:val="Char Char1"/>
    <w:basedOn w:val="16"/>
    <w:qFormat/>
    <w:uiPriority w:val="0"/>
    <w:pPr>
      <w:shd w:val="clear" w:color="auto" w:fill="000080"/>
    </w:pPr>
    <w:rPr>
      <w:rFonts w:ascii="Tahoma" w:hAnsi="Tahoma" w:cs="Times New Roman"/>
      <w:sz w:val="24"/>
      <w:szCs w:val="24"/>
    </w:rPr>
  </w:style>
  <w:style w:type="paragraph" w:customStyle="1" w:styleId="135">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color w:val="000000"/>
      <w:kern w:val="0"/>
      <w:sz w:val="22"/>
    </w:rPr>
  </w:style>
  <w:style w:type="paragraph" w:customStyle="1" w:styleId="13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37">
    <w:name w:val="xl4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38">
    <w:name w:val="样式 宋体 五号 行距: 单倍行距"/>
    <w:basedOn w:val="1"/>
    <w:uiPriority w:val="0"/>
    <w:pPr>
      <w:adjustRightInd w:val="0"/>
      <w:jc w:val="left"/>
      <w:textAlignment w:val="baseline"/>
    </w:pPr>
    <w:rPr>
      <w:rFonts w:ascii="宋体" w:hAnsi="宋体" w:eastAsia="宋体" w:cs="Times New Roman"/>
      <w:kern w:val="0"/>
      <w:szCs w:val="20"/>
    </w:rPr>
  </w:style>
  <w:style w:type="paragraph" w:customStyle="1" w:styleId="139">
    <w:name w:val="Char1 Char Char Char1"/>
    <w:basedOn w:val="1"/>
    <w:uiPriority w:val="0"/>
    <w:rPr>
      <w:rFonts w:ascii="Tahoma" w:hAnsi="Tahoma" w:eastAsia="宋体" w:cs="仿宋_GB2312"/>
      <w:sz w:val="24"/>
      <w:szCs w:val="28"/>
    </w:rPr>
  </w:style>
  <w:style w:type="paragraph" w:customStyle="1" w:styleId="140">
    <w:name w:val="四级条标题"/>
    <w:basedOn w:val="141"/>
    <w:next w:val="1"/>
    <w:uiPriority w:val="0"/>
    <w:pPr>
      <w:tabs>
        <w:tab w:val="left" w:pos="360"/>
        <w:tab w:val="left" w:pos="840"/>
      </w:tabs>
      <w:outlineLvl w:val="4"/>
    </w:pPr>
  </w:style>
  <w:style w:type="paragraph" w:customStyle="1" w:styleId="141">
    <w:name w:val="三级条标题"/>
    <w:basedOn w:val="92"/>
    <w:next w:val="1"/>
    <w:uiPriority w:val="0"/>
    <w:pPr>
      <w:ind w:hanging="840"/>
      <w:outlineLvl w:val="3"/>
    </w:pPr>
  </w:style>
  <w:style w:type="paragraph" w:customStyle="1" w:styleId="142">
    <w:name w:val="??"/>
    <w:uiPriority w:val="0"/>
    <w:pPr>
      <w:widowControl w:val="0"/>
      <w:overflowPunct w:val="0"/>
      <w:autoSpaceDE w:val="0"/>
      <w:autoSpaceDN w:val="0"/>
      <w:adjustRightInd w:val="0"/>
      <w:jc w:val="both"/>
    </w:pPr>
    <w:rPr>
      <w:rFonts w:ascii="Times New Roman" w:hAnsi="Times New Roman" w:eastAsia="宋体" w:cs="Times New Roman"/>
      <w:kern w:val="2"/>
      <w:sz w:val="21"/>
      <w:szCs w:val="20"/>
      <w:lang w:val="en-US" w:eastAsia="en-US" w:bidi="ar-SA"/>
    </w:rPr>
  </w:style>
  <w:style w:type="paragraph" w:customStyle="1" w:styleId="143">
    <w:name w:val="样式 标题 2 + 宋体 五号 行距: 单倍行距"/>
    <w:basedOn w:val="3"/>
    <w:uiPriority w:val="0"/>
    <w:pPr>
      <w:tabs>
        <w:tab w:val="left" w:pos="1188"/>
      </w:tabs>
      <w:adjustRightInd w:val="0"/>
      <w:spacing w:line="240" w:lineRule="auto"/>
      <w:ind w:left="840" w:hanging="420"/>
      <w:jc w:val="left"/>
      <w:textAlignment w:val="baseline"/>
    </w:pPr>
    <w:rPr>
      <w:rFonts w:ascii="宋体" w:hAnsi="宋体" w:eastAsia="宋体" w:cs="Times New Roman"/>
      <w:kern w:val="0"/>
      <w:sz w:val="21"/>
      <w:szCs w:val="20"/>
    </w:rPr>
  </w:style>
  <w:style w:type="paragraph" w:customStyle="1" w:styleId="144">
    <w:name w:val="列出段落1"/>
    <w:basedOn w:val="1"/>
    <w:uiPriority w:val="0"/>
    <w:pPr>
      <w:ind w:firstLine="420" w:firstLineChars="200"/>
    </w:pPr>
    <w:rPr>
      <w:rFonts w:ascii="Calibri" w:hAnsi="Calibri" w:eastAsia="宋体" w:cs="Times New Roman"/>
    </w:rPr>
  </w:style>
  <w:style w:type="paragraph" w:customStyle="1" w:styleId="145">
    <w:name w:val="项目符号1"/>
    <w:basedOn w:val="146"/>
    <w:uiPriority w:val="0"/>
    <w:pPr>
      <w:ind w:left="420" w:hanging="420"/>
    </w:pPr>
  </w:style>
  <w:style w:type="paragraph" w:customStyle="1" w:styleId="146">
    <w:name w:val="正文文本样式"/>
    <w:basedOn w:val="1"/>
    <w:uiPriority w:val="0"/>
    <w:pPr>
      <w:spacing w:line="360" w:lineRule="auto"/>
      <w:ind w:firstLine="482"/>
    </w:pPr>
    <w:rPr>
      <w:rFonts w:ascii="Times New Roman" w:hAnsi="Times New Roman" w:eastAsia="宋体" w:cs="宋体"/>
      <w:sz w:val="24"/>
      <w:szCs w:val="20"/>
    </w:rPr>
  </w:style>
  <w:style w:type="paragraph" w:customStyle="1" w:styleId="14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color w:val="000000"/>
      <w:kern w:val="0"/>
      <w:sz w:val="20"/>
      <w:szCs w:val="20"/>
    </w:rPr>
  </w:style>
  <w:style w:type="paragraph" w:customStyle="1" w:styleId="14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9">
    <w:name w:val="五级条标题"/>
    <w:basedOn w:val="140"/>
    <w:next w:val="1"/>
    <w:uiPriority w:val="0"/>
    <w:pPr>
      <w:ind w:hanging="840"/>
      <w:outlineLvl w:val="5"/>
    </w:pPr>
  </w:style>
  <w:style w:type="paragraph" w:customStyle="1" w:styleId="150">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rPr>
  </w:style>
  <w:style w:type="paragraph" w:customStyle="1" w:styleId="151">
    <w:name w:val="文档正文"/>
    <w:basedOn w:val="1"/>
    <w:uiPriority w:val="0"/>
    <w:pPr>
      <w:snapToGrid w:val="0"/>
      <w:spacing w:before="120" w:after="120" w:line="180" w:lineRule="auto"/>
    </w:pPr>
    <w:rPr>
      <w:rFonts w:ascii="Arial" w:hAnsi="Arial" w:eastAsia="宋体" w:cs="Times New Roman"/>
      <w:szCs w:val="20"/>
    </w:rPr>
  </w:style>
  <w:style w:type="paragraph" w:customStyle="1" w:styleId="152">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cs="Times New Roman"/>
      <w:color w:val="000000"/>
      <w:kern w:val="0"/>
      <w:sz w:val="20"/>
      <w:szCs w:val="20"/>
    </w:rPr>
  </w:style>
  <w:style w:type="paragraph" w:customStyle="1" w:styleId="153">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b/>
      <w:bCs/>
      <w:color w:val="000000"/>
      <w:kern w:val="0"/>
      <w:sz w:val="20"/>
      <w:szCs w:val="20"/>
    </w:rPr>
  </w:style>
  <w:style w:type="paragraph" w:customStyle="1" w:styleId="154">
    <w:name w:val="Char Char Char1 Char"/>
    <w:basedOn w:val="1"/>
    <w:uiPriority w:val="0"/>
    <w:rPr>
      <w:rFonts w:ascii="Tahoma" w:hAnsi="Tahoma" w:eastAsia="宋体" w:cs="Times New Roman"/>
      <w:sz w:val="24"/>
      <w:szCs w:val="20"/>
    </w:rPr>
  </w:style>
  <w:style w:type="paragraph" w:customStyle="1" w:styleId="155">
    <w:name w:val="xl44"/>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56">
    <w:name w:val="1名"/>
    <w:basedOn w:val="1"/>
    <w:uiPriority w:val="0"/>
    <w:pPr>
      <w:tabs>
        <w:tab w:val="left" w:pos="360"/>
      </w:tabs>
      <w:spacing w:before="120"/>
      <w:ind w:left="420" w:hanging="420"/>
    </w:pPr>
    <w:rPr>
      <w:rFonts w:ascii="宋体" w:hAnsi="Times New Roman" w:eastAsia="宋体" w:cs="Times New Roman"/>
      <w:sz w:val="28"/>
      <w:szCs w:val="20"/>
    </w:rPr>
  </w:style>
  <w:style w:type="paragraph" w:customStyle="1" w:styleId="157">
    <w:name w:val="font9"/>
    <w:basedOn w:val="1"/>
    <w:uiPriority w:val="0"/>
    <w:pPr>
      <w:widowControl/>
      <w:spacing w:before="100" w:beforeAutospacing="1" w:after="100" w:afterAutospacing="1"/>
      <w:jc w:val="left"/>
    </w:pPr>
    <w:rPr>
      <w:rFonts w:hint="eastAsia" w:ascii="宋体" w:hAnsi="宋体" w:eastAsia="宋体" w:cs="Arial Unicode MS"/>
      <w:color w:val="000000"/>
      <w:kern w:val="0"/>
      <w:sz w:val="20"/>
      <w:szCs w:val="20"/>
    </w:rPr>
  </w:style>
  <w:style w:type="paragraph" w:customStyle="1" w:styleId="158">
    <w:name w:val="Char Char Char1 Char1"/>
    <w:basedOn w:val="1"/>
    <w:uiPriority w:val="0"/>
    <w:rPr>
      <w:rFonts w:ascii="Tahoma" w:hAnsi="Tahoma" w:eastAsia="宋体" w:cs="Times New Roman"/>
      <w:sz w:val="24"/>
      <w:szCs w:val="20"/>
    </w:rPr>
  </w:style>
  <w:style w:type="paragraph" w:customStyle="1" w:styleId="159">
    <w:name w:val="Char Char Char Char Char Char Char Char Char Char"/>
    <w:basedOn w:val="1"/>
    <w:uiPriority w:val="0"/>
    <w:rPr>
      <w:rFonts w:ascii="Times New Roman" w:hAnsi="Times New Roman" w:eastAsia="宋体" w:cs="Times New Roman"/>
      <w:szCs w:val="24"/>
    </w:rPr>
  </w:style>
  <w:style w:type="paragraph" w:customStyle="1" w:styleId="160">
    <w:name w:val="Char Char1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61">
    <w:name w:val="Char1"/>
    <w:basedOn w:val="1"/>
    <w:uiPriority w:val="0"/>
    <w:pPr>
      <w:tabs>
        <w:tab w:val="left" w:pos="360"/>
      </w:tabs>
    </w:pPr>
    <w:rPr>
      <w:rFonts w:ascii="Times New Roman" w:hAnsi="Times New Roman" w:eastAsia="宋体" w:cs="Times New Roman"/>
      <w:sz w:val="24"/>
      <w:szCs w:val="24"/>
    </w:rPr>
  </w:style>
  <w:style w:type="paragraph" w:customStyle="1" w:styleId="162">
    <w:name w:val="正文列项_字母"/>
    <w:basedOn w:val="1"/>
    <w:uiPriority w:val="0"/>
    <w:pPr>
      <w:autoSpaceDE w:val="0"/>
      <w:autoSpaceDN w:val="0"/>
      <w:spacing w:line="460" w:lineRule="exact"/>
      <w:ind w:left="480" w:leftChars="300" w:hanging="180" w:hangingChars="180"/>
      <w:outlineLvl w:val="6"/>
    </w:pPr>
    <w:rPr>
      <w:rFonts w:ascii="宋体" w:hAnsi="Times New Roman" w:eastAsia="宋体" w:cs="Times New Roman"/>
      <w:kern w:val="0"/>
      <w:sz w:val="28"/>
      <w:szCs w:val="20"/>
    </w:rPr>
  </w:style>
  <w:style w:type="paragraph" w:customStyle="1" w:styleId="163">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4">
    <w:name w:val="xl4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65">
    <w:name w:val="默认段落字体 Para Char Char Char Char"/>
    <w:basedOn w:val="1"/>
    <w:uiPriority w:val="0"/>
    <w:rPr>
      <w:rFonts w:ascii="Arial" w:hAnsi="Arial" w:eastAsia="宋体" w:cs="Arial"/>
      <w:szCs w:val="21"/>
    </w:rPr>
  </w:style>
  <w:style w:type="paragraph" w:customStyle="1" w:styleId="16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rPr>
  </w:style>
  <w:style w:type="paragraph" w:customStyle="1" w:styleId="16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Times New Roman" w:hAnsi="Times New Roman" w:eastAsia="Arial Unicode MS" w:cs="Times New Roman"/>
      <w:color w:val="000000"/>
      <w:kern w:val="0"/>
      <w:sz w:val="20"/>
      <w:szCs w:val="20"/>
    </w:rPr>
  </w:style>
  <w:style w:type="paragraph" w:customStyle="1" w:styleId="168">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69">
    <w:name w:val="Char Char Char"/>
    <w:basedOn w:val="1"/>
    <w:uiPriority w:val="0"/>
    <w:rPr>
      <w:rFonts w:ascii="Tahoma" w:hAnsi="Tahoma" w:eastAsia="宋体" w:cs="Times New Roman"/>
      <w:sz w:val="24"/>
      <w:szCs w:val="20"/>
    </w:rPr>
  </w:style>
  <w:style w:type="paragraph" w:customStyle="1" w:styleId="170">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71">
    <w:name w:val="缺省文本"/>
    <w:basedOn w:val="1"/>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172">
    <w:name w:val="Char Char Char1"/>
    <w:basedOn w:val="1"/>
    <w:uiPriority w:val="0"/>
    <w:rPr>
      <w:rFonts w:ascii="Tahoma" w:hAnsi="Tahoma" w:eastAsia="宋体" w:cs="Times New Roman"/>
      <w:sz w:val="24"/>
      <w:szCs w:val="20"/>
    </w:rPr>
  </w:style>
  <w:style w:type="paragraph" w:customStyle="1" w:styleId="173">
    <w:name w:val="Char Char Char Char Char Char Char1"/>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174">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75">
    <w:name w:val="样式2"/>
    <w:basedOn w:val="41"/>
    <w:uiPriority w:val="0"/>
    <w:pPr>
      <w:spacing w:line="360" w:lineRule="auto"/>
      <w:jc w:val="center"/>
    </w:pPr>
    <w:rPr>
      <w:sz w:val="24"/>
    </w:rPr>
  </w:style>
  <w:style w:type="paragraph" w:customStyle="1" w:styleId="17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77">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178">
    <w:name w:val="正文 + 楷体_GB2312"/>
    <w:basedOn w:val="1"/>
    <w:uiPriority w:val="0"/>
    <w:pPr>
      <w:widowControl/>
      <w:jc w:val="left"/>
    </w:pPr>
    <w:rPr>
      <w:rFonts w:ascii="楷体_GB2312" w:hAnsi="Times New Roman" w:eastAsia="楷体_GB2312" w:cs="Arial"/>
      <w:kern w:val="0"/>
      <w:sz w:val="24"/>
      <w:szCs w:val="24"/>
    </w:rPr>
  </w:style>
  <w:style w:type="paragraph" w:customStyle="1" w:styleId="17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6600"/>
      <w:kern w:val="0"/>
      <w:sz w:val="20"/>
      <w:szCs w:val="20"/>
    </w:rPr>
  </w:style>
  <w:style w:type="paragraph" w:customStyle="1" w:styleId="180">
    <w:name w:val="1 Char Char Char Char"/>
    <w:basedOn w:val="1"/>
    <w:uiPriority w:val="0"/>
    <w:rPr>
      <w:rFonts w:ascii="Tahoma" w:hAnsi="Tahoma" w:eastAsia="宋体" w:cs="Times New Roman"/>
      <w:sz w:val="24"/>
      <w:szCs w:val="20"/>
    </w:rPr>
  </w:style>
  <w:style w:type="paragraph" w:customStyle="1" w:styleId="181">
    <w:name w:val="Default"/>
    <w:uiPriority w:val="0"/>
    <w:pPr>
      <w:widowControl w:val="0"/>
      <w:autoSpaceDE w:val="0"/>
      <w:autoSpaceDN w:val="0"/>
      <w:adjustRightInd w:val="0"/>
    </w:pPr>
    <w:rPr>
      <w:rFonts w:ascii="Symbol" w:hAnsi="Symbol" w:eastAsia="宋体" w:cs="Symbol"/>
      <w:color w:val="000000"/>
      <w:kern w:val="0"/>
      <w:sz w:val="24"/>
      <w:szCs w:val="24"/>
      <w:lang w:val="en-US" w:eastAsia="zh-CN" w:bidi="ar-SA"/>
    </w:rPr>
  </w:style>
  <w:style w:type="paragraph" w:customStyle="1" w:styleId="182">
    <w:name w:val="列出段落11"/>
    <w:basedOn w:val="1"/>
    <w:qFormat/>
    <w:uiPriority w:val="0"/>
    <w:pPr>
      <w:ind w:firstLine="420" w:firstLineChars="200"/>
    </w:pPr>
    <w:rPr>
      <w:rFonts w:ascii="Calibri" w:hAnsi="Calibri" w:eastAsia="宋体" w:cs="Times New Roman"/>
    </w:rPr>
  </w:style>
  <w:style w:type="paragraph" w:customStyle="1" w:styleId="183">
    <w:name w:val="defaul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4">
    <w:name w:val="字元 字元1"/>
    <w:basedOn w:val="1"/>
    <w:uiPriority w:val="0"/>
    <w:rPr>
      <w:rFonts w:ascii="Tahoma" w:hAnsi="Tahoma" w:eastAsia="宋体" w:cs="Times New Roman"/>
      <w:sz w:val="24"/>
      <w:szCs w:val="20"/>
    </w:rPr>
  </w:style>
  <w:style w:type="paragraph" w:customStyle="1" w:styleId="185">
    <w:name w:val="Revision"/>
    <w:uiPriority w:val="0"/>
    <w:rPr>
      <w:rFonts w:ascii="Times New Roman" w:hAnsi="Times New Roman" w:eastAsia="宋体" w:cs="Times New Roman"/>
      <w:kern w:val="2"/>
      <w:sz w:val="21"/>
      <w:szCs w:val="24"/>
      <w:lang w:val="en-US" w:eastAsia="zh-CN" w:bidi="ar-SA"/>
    </w:rPr>
  </w:style>
  <w:style w:type="paragraph" w:customStyle="1" w:styleId="186">
    <w:name w:val="项目编号3"/>
    <w:basedOn w:val="146"/>
    <w:uiPriority w:val="0"/>
    <w:pPr>
      <w:ind w:left="-25" w:firstLine="0"/>
    </w:pPr>
  </w:style>
  <w:style w:type="paragraph" w:customStyle="1" w:styleId="187">
    <w:name w:val="Char21"/>
    <w:basedOn w:val="1"/>
    <w:uiPriority w:val="0"/>
    <w:rPr>
      <w:rFonts w:ascii="Tahoma" w:hAnsi="Tahoma" w:eastAsia="宋体" w:cs="Times New Roman"/>
      <w:sz w:val="24"/>
      <w:szCs w:val="20"/>
    </w:rPr>
  </w:style>
  <w:style w:type="paragraph" w:customStyle="1" w:styleId="188">
    <w:name w:val="表格文字"/>
    <w:basedOn w:val="19"/>
    <w:uiPriority w:val="0"/>
    <w:pPr>
      <w:spacing w:before="20" w:after="20"/>
      <w:ind w:left="0" w:leftChars="0"/>
    </w:pPr>
    <w:rPr>
      <w:rFonts w:ascii="Century Gothic" w:hAnsi="Century Gothic" w:eastAsia="宋体" w:cs="Times New Roman"/>
      <w:sz w:val="20"/>
      <w:szCs w:val="20"/>
    </w:rPr>
  </w:style>
  <w:style w:type="paragraph" w:customStyle="1" w:styleId="189">
    <w:name w:val="Char Char Char Char Char Char Char Char Char Char1"/>
    <w:basedOn w:val="1"/>
    <w:uiPriority w:val="0"/>
    <w:rPr>
      <w:rFonts w:ascii="宋体" w:hAnsi="宋体" w:eastAsia="宋体" w:cs="Courier New"/>
      <w:sz w:val="32"/>
      <w:szCs w:val="32"/>
    </w:rPr>
  </w:style>
  <w:style w:type="paragraph" w:customStyle="1" w:styleId="190">
    <w:name w:val="正文文本样式 加粗"/>
    <w:basedOn w:val="146"/>
    <w:uiPriority w:val="0"/>
    <w:rPr>
      <w:b/>
    </w:rPr>
  </w:style>
  <w:style w:type="paragraph" w:customStyle="1" w:styleId="191">
    <w:name w:val="Char2 Char Char Char Char Char Char"/>
    <w:basedOn w:val="1"/>
    <w:uiPriority w:val="0"/>
    <w:pPr>
      <w:widowControl/>
      <w:spacing w:line="400" w:lineRule="exact"/>
      <w:jc w:val="center"/>
    </w:pPr>
    <w:rPr>
      <w:rFonts w:ascii="Times New Roman" w:hAnsi="Times New Roman" w:eastAsia="宋体" w:cs="Times New Roman"/>
      <w:szCs w:val="24"/>
    </w:rPr>
  </w:style>
  <w:style w:type="paragraph" w:customStyle="1" w:styleId="192">
    <w:name w:val="Char Char4"/>
    <w:basedOn w:val="1"/>
    <w:uiPriority w:val="0"/>
    <w:pPr>
      <w:widowControl/>
      <w:spacing w:line="400" w:lineRule="exact"/>
      <w:jc w:val="center"/>
    </w:pPr>
    <w:rPr>
      <w:rFonts w:ascii="Times New Roman" w:hAnsi="Times New Roman" w:eastAsia="宋体" w:cs="Times New Roman"/>
      <w:szCs w:val="24"/>
    </w:rPr>
  </w:style>
  <w:style w:type="paragraph" w:customStyle="1" w:styleId="193">
    <w:name w:val="Char3 Char Char Char1"/>
    <w:basedOn w:val="1"/>
    <w:uiPriority w:val="0"/>
    <w:rPr>
      <w:rFonts w:ascii="Tahoma" w:hAnsi="Tahoma" w:eastAsia="宋体" w:cs="Times New Roman"/>
      <w:sz w:val="24"/>
      <w:szCs w:val="20"/>
    </w:rPr>
  </w:style>
  <w:style w:type="paragraph" w:customStyle="1" w:styleId="194">
    <w:name w:val="No Spacing"/>
    <w:link w:val="229"/>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22222222222222"/>
    <w:basedOn w:val="1"/>
    <w:uiPriority w:val="0"/>
    <w:pPr>
      <w:widowControl/>
      <w:adjustRightInd w:val="0"/>
      <w:spacing w:line="360" w:lineRule="auto"/>
      <w:ind w:firstLine="480" w:firstLineChars="200"/>
      <w:jc w:val="left"/>
    </w:pPr>
    <w:rPr>
      <w:rFonts w:ascii="Times New Roman" w:hAnsi="Times New Roman" w:eastAsia="宋体" w:cs="Times New Roman"/>
      <w:color w:val="FF0000"/>
      <w:kern w:val="0"/>
      <w:sz w:val="24"/>
      <w:szCs w:val="20"/>
    </w:rPr>
  </w:style>
  <w:style w:type="character" w:customStyle="1" w:styleId="196">
    <w:name w:val="中等深浅网格 1 - 强调文字颜色 2 Char"/>
    <w:uiPriority w:val="0"/>
    <w:rPr>
      <w:kern w:val="2"/>
      <w:sz w:val="21"/>
      <w:szCs w:val="24"/>
    </w:rPr>
  </w:style>
  <w:style w:type="paragraph" w:customStyle="1" w:styleId="197">
    <w:name w:val="图文"/>
    <w:basedOn w:val="1"/>
    <w:uiPriority w:val="0"/>
    <w:pPr>
      <w:adjustRightInd w:val="0"/>
      <w:snapToGrid w:val="0"/>
      <w:spacing w:after="50" w:line="360" w:lineRule="auto"/>
    </w:pPr>
    <w:rPr>
      <w:rFonts w:ascii="Times New Roman" w:hAnsi="Times New Roman" w:eastAsia="宋体" w:cs="Times New Roman"/>
      <w:sz w:val="24"/>
      <w:szCs w:val="24"/>
    </w:rPr>
  </w:style>
  <w:style w:type="paragraph" w:customStyle="1" w:styleId="198">
    <w:name w:val="xl23"/>
    <w:basedOn w:val="1"/>
    <w:uiPriority w:val="0"/>
    <w:pPr>
      <w:widowControl/>
      <w:spacing w:before="100" w:beforeAutospacing="1" w:after="100" w:afterAutospacing="1" w:line="360" w:lineRule="auto"/>
      <w:textAlignment w:val="top"/>
    </w:pPr>
    <w:rPr>
      <w:rFonts w:ascii="Times New Roman" w:hAnsi="Times New Roman" w:eastAsia="宋体" w:cs="Times New Roman"/>
      <w:kern w:val="0"/>
      <w:sz w:val="24"/>
      <w:szCs w:val="20"/>
    </w:rPr>
  </w:style>
  <w:style w:type="paragraph" w:customStyle="1" w:styleId="199">
    <w:name w:val="正文表格"/>
    <w:basedOn w:val="1"/>
    <w:link w:val="200"/>
    <w:qFormat/>
    <w:uiPriority w:val="0"/>
    <w:pPr>
      <w:adjustRightInd w:val="0"/>
      <w:snapToGrid w:val="0"/>
      <w:jc w:val="left"/>
    </w:pPr>
    <w:rPr>
      <w:rFonts w:ascii="宋体" w:hAnsi="宋体" w:eastAsia="宋体" w:cs="Times New Roman"/>
      <w:color w:val="000000"/>
      <w:szCs w:val="21"/>
    </w:rPr>
  </w:style>
  <w:style w:type="character" w:customStyle="1" w:styleId="200">
    <w:name w:val="正文表格 Char"/>
    <w:link w:val="199"/>
    <w:qFormat/>
    <w:uiPriority w:val="0"/>
    <w:rPr>
      <w:rFonts w:ascii="宋体" w:hAnsi="宋体" w:eastAsia="宋体" w:cs="Times New Roman"/>
      <w:color w:val="000000"/>
      <w:szCs w:val="21"/>
    </w:rPr>
  </w:style>
  <w:style w:type="paragraph" w:customStyle="1" w:styleId="201">
    <w:name w:val="正文重点"/>
    <w:basedOn w:val="1"/>
    <w:link w:val="202"/>
    <w:qFormat/>
    <w:uiPriority w:val="0"/>
    <w:pPr>
      <w:adjustRightInd w:val="0"/>
      <w:spacing w:line="360" w:lineRule="auto"/>
      <w:ind w:firstLine="482" w:firstLineChars="200"/>
      <w:jc w:val="left"/>
      <w:textAlignment w:val="baseline"/>
    </w:pPr>
    <w:rPr>
      <w:rFonts w:ascii="Times New Roman" w:hAnsi="Times New Roman" w:eastAsia="宋体" w:cs="Times New Roman"/>
      <w:b/>
      <w:kern w:val="0"/>
      <w:sz w:val="24"/>
      <w:szCs w:val="20"/>
    </w:rPr>
  </w:style>
  <w:style w:type="character" w:customStyle="1" w:styleId="202">
    <w:name w:val="正文重点 Char"/>
    <w:link w:val="201"/>
    <w:uiPriority w:val="0"/>
    <w:rPr>
      <w:rFonts w:ascii="Times New Roman" w:hAnsi="Times New Roman" w:eastAsia="宋体" w:cs="Times New Roman"/>
      <w:b/>
      <w:kern w:val="0"/>
      <w:sz w:val="24"/>
      <w:szCs w:val="20"/>
    </w:rPr>
  </w:style>
  <w:style w:type="paragraph" w:customStyle="1" w:styleId="203">
    <w:name w:val="标题1-附件"/>
    <w:basedOn w:val="2"/>
    <w:qFormat/>
    <w:uiPriority w:val="0"/>
    <w:pPr>
      <w:autoSpaceDE w:val="0"/>
      <w:autoSpaceDN w:val="0"/>
      <w:adjustRightInd w:val="0"/>
      <w:spacing w:before="240" w:after="120" w:line="300" w:lineRule="auto"/>
      <w:jc w:val="left"/>
    </w:pPr>
    <w:rPr>
      <w:rFonts w:ascii="宋体" w:hAnsi="Times New Roman" w:eastAsia="宋体" w:cs="Times New Roman"/>
      <w:bCs w:val="0"/>
      <w:sz w:val="24"/>
      <w:szCs w:val="24"/>
    </w:rPr>
  </w:style>
  <w:style w:type="paragraph" w:customStyle="1" w:styleId="204">
    <w:name w:val="正文小标题"/>
    <w:basedOn w:val="1"/>
    <w:next w:val="5"/>
    <w:link w:val="205"/>
    <w:qFormat/>
    <w:uiPriority w:val="0"/>
    <w:pPr>
      <w:adjustRightInd w:val="0"/>
      <w:snapToGrid w:val="0"/>
      <w:spacing w:beforeLines="100" w:afterLines="100"/>
      <w:ind w:firstLine="482"/>
      <w:jc w:val="left"/>
    </w:pPr>
    <w:rPr>
      <w:rFonts w:ascii="宋体" w:hAnsi="宋体" w:eastAsia="宋体" w:cs="Times New Roman"/>
      <w:b/>
      <w:i/>
      <w:color w:val="FF0000"/>
      <w:sz w:val="24"/>
      <w:szCs w:val="20"/>
    </w:rPr>
  </w:style>
  <w:style w:type="character" w:customStyle="1" w:styleId="205">
    <w:name w:val="正文小标题 Char"/>
    <w:link w:val="204"/>
    <w:uiPriority w:val="0"/>
    <w:rPr>
      <w:rFonts w:ascii="宋体" w:hAnsi="宋体" w:eastAsia="宋体" w:cs="Times New Roman"/>
      <w:b/>
      <w:i/>
      <w:color w:val="FF0000"/>
      <w:sz w:val="24"/>
      <w:szCs w:val="20"/>
    </w:rPr>
  </w:style>
  <w:style w:type="paragraph" w:customStyle="1" w:styleId="206">
    <w:name w:val="正文大标题"/>
    <w:basedOn w:val="204"/>
    <w:next w:val="5"/>
    <w:link w:val="207"/>
    <w:qFormat/>
    <w:uiPriority w:val="0"/>
    <w:pPr>
      <w:jc w:val="center"/>
    </w:pPr>
    <w:rPr>
      <w:i w:val="0"/>
      <w:color w:val="000000"/>
      <w:sz w:val="28"/>
      <w:szCs w:val="21"/>
    </w:rPr>
  </w:style>
  <w:style w:type="character" w:customStyle="1" w:styleId="207">
    <w:name w:val="正文大标题 Char"/>
    <w:link w:val="206"/>
    <w:uiPriority w:val="0"/>
    <w:rPr>
      <w:rFonts w:ascii="宋体" w:hAnsi="宋体" w:eastAsia="宋体" w:cs="Times New Roman"/>
      <w:b/>
      <w:color w:val="000000"/>
      <w:sz w:val="28"/>
      <w:szCs w:val="21"/>
    </w:rPr>
  </w:style>
  <w:style w:type="paragraph" w:customStyle="1" w:styleId="208">
    <w:name w:val="注释"/>
    <w:basedOn w:val="1"/>
    <w:link w:val="209"/>
    <w:qFormat/>
    <w:uiPriority w:val="0"/>
    <w:pPr>
      <w:adjustRightInd w:val="0"/>
      <w:snapToGrid w:val="0"/>
      <w:ind w:left="420" w:hanging="420" w:hangingChars="200"/>
      <w:jc w:val="left"/>
    </w:pPr>
    <w:rPr>
      <w:rFonts w:ascii="宋体" w:hAnsi="宋体" w:eastAsia="宋体" w:cs="Times New Roman"/>
      <w:szCs w:val="21"/>
    </w:rPr>
  </w:style>
  <w:style w:type="character" w:customStyle="1" w:styleId="209">
    <w:name w:val="注释 Char"/>
    <w:link w:val="208"/>
    <w:uiPriority w:val="0"/>
    <w:rPr>
      <w:rFonts w:ascii="宋体" w:hAnsi="宋体" w:eastAsia="宋体" w:cs="Times New Roman"/>
      <w:szCs w:val="21"/>
    </w:rPr>
  </w:style>
  <w:style w:type="paragraph" w:customStyle="1" w:styleId="210">
    <w:name w:val="正文须知-1级"/>
    <w:basedOn w:val="1"/>
    <w:next w:val="1"/>
    <w:qFormat/>
    <w:uiPriority w:val="0"/>
    <w:pPr>
      <w:numPr>
        <w:ilvl w:val="0"/>
        <w:numId w:val="1"/>
      </w:numPr>
      <w:adjustRightInd w:val="0"/>
      <w:snapToGrid w:val="0"/>
      <w:spacing w:line="300" w:lineRule="auto"/>
    </w:pPr>
    <w:rPr>
      <w:rFonts w:ascii="宋体" w:hAnsi="Calibri" w:eastAsia="宋体" w:cs="Times New Roman"/>
      <w:sz w:val="24"/>
      <w:szCs w:val="21"/>
    </w:rPr>
  </w:style>
  <w:style w:type="paragraph" w:customStyle="1" w:styleId="211">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 w:type="paragraph" w:customStyle="1" w:styleId="212">
    <w:name w:val="正文须知-3级"/>
    <w:basedOn w:val="1"/>
    <w:qFormat/>
    <w:uiPriority w:val="0"/>
    <w:pPr>
      <w:numPr>
        <w:ilvl w:val="2"/>
        <w:numId w:val="1"/>
      </w:numPr>
      <w:adjustRightInd w:val="0"/>
      <w:snapToGrid w:val="0"/>
      <w:spacing w:line="300" w:lineRule="auto"/>
      <w:ind w:hanging="355" w:hangingChars="355"/>
    </w:pPr>
    <w:rPr>
      <w:rFonts w:ascii="宋体" w:hAnsi="Calibri" w:eastAsia="宋体" w:cs="Times New Roman"/>
      <w:sz w:val="24"/>
      <w:szCs w:val="21"/>
    </w:rPr>
  </w:style>
  <w:style w:type="character" w:customStyle="1" w:styleId="213">
    <w:name w:val="批注文字 字符"/>
    <w:uiPriority w:val="99"/>
    <w:rPr>
      <w:rFonts w:ascii="Times New Roman" w:hAnsi="Times New Roman" w:eastAsia="宋体" w:cs="Times New Roman"/>
      <w:sz w:val="24"/>
      <w:lang w:val="en-US" w:eastAsia="zh-CN" w:bidi="ar-SA"/>
    </w:rPr>
  </w:style>
  <w:style w:type="character" w:customStyle="1" w:styleId="214">
    <w:name w:val="纯文本 字符"/>
    <w:qFormat/>
    <w:uiPriority w:val="0"/>
    <w:rPr>
      <w:rFonts w:ascii="宋体" w:hAnsi="Courier New" w:eastAsia="宋体" w:cs="Times New Roman"/>
      <w:kern w:val="2"/>
      <w:sz w:val="21"/>
      <w:szCs w:val="21"/>
      <w:lang w:val="en-US" w:eastAsia="zh-CN" w:bidi="ar-SA"/>
    </w:rPr>
  </w:style>
  <w:style w:type="paragraph" w:customStyle="1" w:styleId="215">
    <w:name w:val="表格1"/>
    <w:basedOn w:val="1"/>
    <w:uiPriority w:val="0"/>
    <w:pPr>
      <w:ind w:firstLine="480" w:firstLineChars="200"/>
      <w:jc w:val="center"/>
    </w:pPr>
    <w:rPr>
      <w:rFonts w:ascii="Times New Roman" w:hAnsi="Times New Roman" w:eastAsia="宋体" w:cs="Times New Roman"/>
      <w:sz w:val="24"/>
      <w:szCs w:val="20"/>
    </w:rPr>
  </w:style>
  <w:style w:type="character" w:customStyle="1" w:styleId="216">
    <w:name w:val="纯文本 字符1"/>
    <w:qFormat/>
    <w:uiPriority w:val="0"/>
    <w:rPr>
      <w:rFonts w:ascii="宋体" w:hAnsi="Courier New"/>
    </w:rPr>
  </w:style>
  <w:style w:type="character" w:customStyle="1" w:styleId="217">
    <w:name w:val="bjh-p"/>
    <w:qFormat/>
    <w:uiPriority w:val="0"/>
  </w:style>
  <w:style w:type="paragraph" w:customStyle="1" w:styleId="218">
    <w:name w:val="无标题条"/>
    <w:next w:val="1"/>
    <w:uiPriority w:val="0"/>
    <w:pPr>
      <w:jc w:val="both"/>
    </w:pPr>
    <w:rPr>
      <w:rFonts w:ascii="Times New Roman" w:hAnsi="Times New Roman" w:eastAsia="宋体" w:cs="Times New Roman"/>
      <w:kern w:val="0"/>
      <w:sz w:val="21"/>
      <w:szCs w:val="20"/>
      <w:lang w:val="en-US" w:eastAsia="zh-CN" w:bidi="ar-SA"/>
    </w:rPr>
  </w:style>
  <w:style w:type="character" w:customStyle="1" w:styleId="219">
    <w:name w:val="正文缩进 字符"/>
    <w:uiPriority w:val="0"/>
    <w:rPr>
      <w:rFonts w:ascii="宋体" w:eastAsia="宋体"/>
      <w:kern w:val="2"/>
      <w:sz w:val="24"/>
      <w:szCs w:val="24"/>
      <w:lang w:val="en-US" w:eastAsia="zh-CN" w:bidi="ar-SA"/>
    </w:rPr>
  </w:style>
  <w:style w:type="paragraph" w:customStyle="1" w:styleId="220">
    <w:name w:val="正文1"/>
    <w:basedOn w:val="1"/>
    <w:link w:val="221"/>
    <w:qFormat/>
    <w:uiPriority w:val="0"/>
    <w:pPr>
      <w:spacing w:before="60" w:after="60" w:line="360" w:lineRule="auto"/>
      <w:ind w:firstLine="560" w:firstLineChars="200"/>
    </w:pPr>
    <w:rPr>
      <w:rFonts w:ascii="Arial" w:hAnsi="Arial" w:eastAsia="宋体" w:cs="Times New Roman"/>
      <w:sz w:val="28"/>
      <w:szCs w:val="20"/>
    </w:rPr>
  </w:style>
  <w:style w:type="character" w:customStyle="1" w:styleId="221">
    <w:name w:val="正文1{858D7CFB-ED40-4347-BF05-701D383B685F}"/>
    <w:link w:val="220"/>
    <w:qFormat/>
    <w:uiPriority w:val="0"/>
    <w:rPr>
      <w:rFonts w:ascii="Arial" w:hAnsi="Arial" w:eastAsia="宋体" w:cs="Times New Roman"/>
      <w:sz w:val="28"/>
      <w:szCs w:val="20"/>
    </w:rPr>
  </w:style>
  <w:style w:type="character" w:customStyle="1" w:styleId="222">
    <w:name w:val="尾注文本 Char"/>
    <w:basedOn w:val="43"/>
    <w:link w:val="28"/>
    <w:semiHidden/>
    <w:uiPriority w:val="99"/>
  </w:style>
  <w:style w:type="table" w:customStyle="1" w:styleId="223">
    <w:name w:val="网格型1"/>
    <w:basedOn w:val="5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4">
    <w:name w:val="S_标题1"/>
    <w:basedOn w:val="2"/>
    <w:next w:val="1"/>
    <w:qFormat/>
    <w:uiPriority w:val="0"/>
    <w:pPr>
      <w:widowControl/>
      <w:spacing w:beforeLines="150" w:afterLines="50" w:line="240" w:lineRule="auto"/>
    </w:pPr>
    <w:rPr>
      <w:rFonts w:ascii="Times New Roman" w:hAnsi="Times New Roman" w:eastAsia="宋体" w:cs="Times New Roman"/>
      <w:bCs w:val="0"/>
      <w:sz w:val="32"/>
      <w:szCs w:val="32"/>
    </w:rPr>
  </w:style>
  <w:style w:type="paragraph" w:customStyle="1" w:styleId="225">
    <w:name w:val="*Body Single"/>
    <w:qFormat/>
    <w:uiPriority w:val="0"/>
    <w:pPr>
      <w:snapToGrid w:val="0"/>
      <w:spacing w:beforeLines="50" w:line="220" w:lineRule="atLeast"/>
      <w:ind w:left="450" w:leftChars="250" w:hanging="200" w:hangingChars="200"/>
      <w:jc w:val="both"/>
    </w:pPr>
    <w:rPr>
      <w:rFonts w:ascii="Arial" w:hAnsi="Arial" w:eastAsia="宋体" w:cs="Times New Roman"/>
      <w:kern w:val="0"/>
      <w:sz w:val="20"/>
      <w:szCs w:val="20"/>
      <w:lang w:val="en-US" w:eastAsia="zh-CN" w:bidi="ar-SA"/>
    </w:rPr>
  </w:style>
  <w:style w:type="paragraph" w:customStyle="1" w:styleId="226">
    <w:name w:val="TOC 标题1"/>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227">
    <w:name w:val="图 标"/>
    <w:basedOn w:val="1"/>
    <w:link w:val="228"/>
    <w:qFormat/>
    <w:uiPriority w:val="0"/>
    <w:pPr>
      <w:widowControl/>
      <w:numPr>
        <w:ilvl w:val="0"/>
        <w:numId w:val="2"/>
      </w:numPr>
      <w:tabs>
        <w:tab w:val="left" w:pos="284"/>
      </w:tabs>
      <w:snapToGrid w:val="0"/>
      <w:spacing w:beforeLines="30" w:afterLines="50"/>
      <w:ind w:left="660" w:leftChars="100"/>
      <w:jc w:val="center"/>
    </w:pPr>
    <w:rPr>
      <w:rFonts w:ascii="Palatino Linotype" w:hAnsi="Palatino Linotype" w:eastAsia="宋体" w:cs="Times New Roman"/>
      <w:szCs w:val="20"/>
    </w:rPr>
  </w:style>
  <w:style w:type="character" w:customStyle="1" w:styleId="228">
    <w:name w:val="图 标 字符"/>
    <w:basedOn w:val="43"/>
    <w:link w:val="227"/>
    <w:qFormat/>
    <w:uiPriority w:val="0"/>
    <w:rPr>
      <w:rFonts w:ascii="Palatino Linotype" w:hAnsi="Palatino Linotype" w:eastAsia="宋体" w:cs="Times New Roman"/>
      <w:szCs w:val="20"/>
    </w:rPr>
  </w:style>
  <w:style w:type="character" w:customStyle="1" w:styleId="229">
    <w:name w:val="无间隔 Char"/>
    <w:basedOn w:val="43"/>
    <w:link w:val="194"/>
    <w:qFormat/>
    <w:uiPriority w:val="1"/>
    <w:rPr>
      <w:rFonts w:ascii="Times New Roman" w:hAnsi="Times New Roman" w:eastAsia="宋体" w:cs="Times New Roman"/>
      <w:szCs w:val="24"/>
    </w:rPr>
  </w:style>
  <w:style w:type="paragraph" w:customStyle="1" w:styleId="230">
    <w:name w:val="my 正文"/>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231">
    <w:name w:val="标题5 Char"/>
    <w:link w:val="232"/>
    <w:qFormat/>
    <w:locked/>
    <w:uiPriority w:val="0"/>
    <w:rPr>
      <w:rFonts w:ascii="宋体" w:hAnsi="宋体" w:eastAsia="宋体" w:cs="宋体"/>
      <w:sz w:val="24"/>
      <w:szCs w:val="24"/>
    </w:rPr>
  </w:style>
  <w:style w:type="paragraph" w:customStyle="1" w:styleId="232">
    <w:name w:val="标题5"/>
    <w:basedOn w:val="1"/>
    <w:link w:val="231"/>
    <w:qFormat/>
    <w:uiPriority w:val="0"/>
    <w:pPr>
      <w:widowControl/>
      <w:numPr>
        <w:ilvl w:val="0"/>
        <w:numId w:val="3"/>
      </w:numPr>
      <w:spacing w:before="100" w:beforeAutospacing="1" w:after="100" w:afterAutospacing="1"/>
      <w:jc w:val="left"/>
      <w:outlineLvl w:val="4"/>
    </w:pPr>
    <w:rPr>
      <w:rFonts w:ascii="宋体" w:hAnsi="宋体" w:eastAsia="宋体" w:cs="宋体"/>
      <w:sz w:val="24"/>
      <w:szCs w:val="24"/>
    </w:rPr>
  </w:style>
  <w:style w:type="paragraph" w:customStyle="1" w:styleId="23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4">
    <w:name w:val="数字编号样式1."/>
    <w:basedOn w:val="1"/>
    <w:qFormat/>
    <w:uiPriority w:val="0"/>
    <w:pPr>
      <w:numPr>
        <w:ilvl w:val="0"/>
        <w:numId w:val="4"/>
      </w:numPr>
      <w:spacing w:line="360" w:lineRule="auto"/>
    </w:pPr>
    <w:rPr>
      <w:rFonts w:ascii="Calibri" w:hAnsi="Calibri" w:eastAsia="宋体" w:cs="Times New Roman"/>
      <w:kern w:val="0"/>
      <w:sz w:val="24"/>
      <w:szCs w:val="20"/>
    </w:rPr>
  </w:style>
  <w:style w:type="paragraph" w:customStyle="1" w:styleId="235">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36">
    <w:name w:val="shortdes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238">
    <w:name w:val="网格型2"/>
    <w:basedOn w:val="52"/>
    <w:qFormat/>
    <w:uiPriority w:val="39"/>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43E8E-1B8C-485F-842C-89F7D094F5E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96</Pages>
  <Words>8602</Words>
  <Characters>49037</Characters>
  <Lines>408</Lines>
  <Paragraphs>115</Paragraphs>
  <ScaleCrop>false</ScaleCrop>
  <LinksUpToDate>false</LinksUpToDate>
  <CharactersWithSpaces>57524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2021-08-18T07:13:00Z</dcterms:created>
  <dc:creator>SSTC_潘炳衡</dc:creator>
  <cp:lastModifiedBy>lijiangshan</cp:lastModifiedBy>
  <dcterms:modified xsi:type="dcterms:W3CDTF">2021-09-03T06:12:06Z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